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B916A" w14:textId="77777777" w:rsidR="009D0A71" w:rsidRPr="00BC3B0C" w:rsidRDefault="009D0A71" w:rsidP="00077B72">
      <w:pPr>
        <w:jc w:val="both"/>
        <w:rPr>
          <w:rFonts w:ascii="Arial" w:hAnsi="Arial" w:cs="Arial"/>
          <w:sz w:val="20"/>
          <w:szCs w:val="20"/>
        </w:rPr>
      </w:pPr>
    </w:p>
    <w:p w14:paraId="2FF7015E" w14:textId="77777777" w:rsidR="004A79C1" w:rsidRPr="002377E0" w:rsidRDefault="00F70E34" w:rsidP="004A79C1">
      <w:pPr>
        <w:jc w:val="center"/>
        <w:rPr>
          <w:rFonts w:ascii="Arial" w:hAnsi="Arial" w:cs="Arial"/>
          <w:b/>
          <w:spacing w:val="160"/>
          <w:sz w:val="28"/>
          <w:szCs w:val="28"/>
        </w:rPr>
      </w:pPr>
      <w:r w:rsidRPr="002377E0">
        <w:rPr>
          <w:rFonts w:ascii="Arial" w:hAnsi="Arial" w:cs="Arial"/>
          <w:b/>
          <w:spacing w:val="160"/>
          <w:sz w:val="28"/>
          <w:szCs w:val="28"/>
        </w:rPr>
        <w:t>SMLOUV</w:t>
      </w:r>
      <w:r w:rsidR="004A79C1" w:rsidRPr="002377E0">
        <w:rPr>
          <w:rFonts w:ascii="Arial" w:hAnsi="Arial" w:cs="Arial"/>
          <w:b/>
          <w:spacing w:val="160"/>
          <w:sz w:val="28"/>
          <w:szCs w:val="28"/>
        </w:rPr>
        <w:t>A</w:t>
      </w:r>
    </w:p>
    <w:p w14:paraId="31FC32EA" w14:textId="77777777" w:rsidR="004A79C1" w:rsidRPr="002377E0" w:rsidRDefault="004A79C1" w:rsidP="00077B72">
      <w:pPr>
        <w:jc w:val="both"/>
        <w:rPr>
          <w:rFonts w:ascii="Arial" w:hAnsi="Arial" w:cs="Arial"/>
          <w:b/>
          <w:sz w:val="20"/>
          <w:szCs w:val="20"/>
        </w:rPr>
      </w:pPr>
    </w:p>
    <w:p w14:paraId="333A0497" w14:textId="77777777" w:rsidR="004062B6" w:rsidRPr="002377E0" w:rsidRDefault="004062B6" w:rsidP="00077B72">
      <w:pPr>
        <w:jc w:val="both"/>
        <w:rPr>
          <w:rFonts w:ascii="Arial" w:hAnsi="Arial" w:cs="Arial"/>
          <w:b/>
          <w:sz w:val="20"/>
          <w:szCs w:val="20"/>
        </w:rPr>
      </w:pPr>
    </w:p>
    <w:p w14:paraId="3964E954" w14:textId="6DA830D0" w:rsidR="00E45557" w:rsidRPr="00E45557" w:rsidRDefault="00AB3070" w:rsidP="00E45557">
      <w:pPr>
        <w:rPr>
          <w:rFonts w:ascii="Arial" w:hAnsi="Arial" w:cs="Arial"/>
          <w:color w:val="000000"/>
          <w:sz w:val="20"/>
          <w:szCs w:val="20"/>
        </w:rPr>
      </w:pPr>
      <w:r w:rsidRPr="00E45557">
        <w:rPr>
          <w:rFonts w:ascii="Arial" w:hAnsi="Arial" w:cs="Arial"/>
          <w:b/>
          <w:sz w:val="20"/>
          <w:szCs w:val="20"/>
        </w:rPr>
        <w:t>číslo</w:t>
      </w:r>
      <w:r w:rsidR="00C55F0F" w:rsidRPr="00E45557">
        <w:rPr>
          <w:rFonts w:ascii="Arial" w:hAnsi="Arial" w:cs="Arial"/>
          <w:b/>
          <w:sz w:val="20"/>
          <w:szCs w:val="20"/>
        </w:rPr>
        <w:t xml:space="preserve"> SŽ</w:t>
      </w:r>
      <w:r w:rsidR="00580749" w:rsidRPr="00E45557">
        <w:rPr>
          <w:rFonts w:ascii="Arial" w:hAnsi="Arial" w:cs="Arial"/>
          <w:b/>
          <w:sz w:val="20"/>
          <w:szCs w:val="20"/>
        </w:rPr>
        <w:t>:</w:t>
      </w:r>
      <w:r w:rsidR="00800450" w:rsidRPr="00E45557">
        <w:rPr>
          <w:rFonts w:ascii="Arial" w:hAnsi="Arial" w:cs="Arial"/>
          <w:b/>
          <w:sz w:val="20"/>
          <w:szCs w:val="20"/>
        </w:rPr>
        <w:t xml:space="preserve"> </w:t>
      </w:r>
    </w:p>
    <w:p w14:paraId="410A5DFB" w14:textId="53BDB35B" w:rsidR="00AB3070" w:rsidRPr="002377E0" w:rsidRDefault="00C55F0F" w:rsidP="00E96F1D">
      <w:pPr>
        <w:rPr>
          <w:rFonts w:ascii="Arial" w:hAnsi="Arial" w:cs="Arial"/>
          <w:b/>
          <w:sz w:val="20"/>
          <w:szCs w:val="20"/>
        </w:rPr>
      </w:pPr>
      <w:r>
        <w:rPr>
          <w:rFonts w:ascii="Arial" w:hAnsi="Arial" w:cs="Arial"/>
          <w:b/>
          <w:sz w:val="20"/>
          <w:szCs w:val="20"/>
        </w:rPr>
        <w:t xml:space="preserve">číslo dopravce: </w:t>
      </w:r>
    </w:p>
    <w:p w14:paraId="45C42FD7" w14:textId="77777777" w:rsidR="00715783" w:rsidRPr="002377E0" w:rsidRDefault="00715783" w:rsidP="00077B72">
      <w:pPr>
        <w:jc w:val="center"/>
        <w:rPr>
          <w:rFonts w:ascii="Arial" w:hAnsi="Arial" w:cs="Arial"/>
          <w:b/>
          <w:sz w:val="20"/>
          <w:szCs w:val="20"/>
        </w:rPr>
      </w:pPr>
      <w:r w:rsidRPr="002377E0">
        <w:rPr>
          <w:rFonts w:ascii="Arial" w:hAnsi="Arial" w:cs="Arial"/>
          <w:b/>
          <w:sz w:val="20"/>
          <w:szCs w:val="20"/>
        </w:rPr>
        <w:t xml:space="preserve">o </w:t>
      </w:r>
      <w:r w:rsidR="00B54D7A" w:rsidRPr="002377E0">
        <w:rPr>
          <w:rFonts w:ascii="Arial" w:hAnsi="Arial" w:cs="Arial"/>
          <w:b/>
          <w:sz w:val="20"/>
          <w:szCs w:val="20"/>
        </w:rPr>
        <w:t xml:space="preserve">dodávkách </w:t>
      </w:r>
      <w:r w:rsidR="00077B72" w:rsidRPr="002377E0">
        <w:rPr>
          <w:rFonts w:ascii="Arial" w:hAnsi="Arial" w:cs="Arial"/>
          <w:b/>
          <w:sz w:val="20"/>
          <w:szCs w:val="20"/>
        </w:rPr>
        <w:t>trakční elektrické energie</w:t>
      </w:r>
    </w:p>
    <w:p w14:paraId="126C13CA" w14:textId="77777777" w:rsidR="008E7224" w:rsidRPr="00BC3B0C" w:rsidRDefault="008E7224" w:rsidP="00077B72">
      <w:pPr>
        <w:jc w:val="center"/>
        <w:rPr>
          <w:rFonts w:ascii="Arial" w:hAnsi="Arial" w:cs="Arial"/>
          <w:sz w:val="20"/>
          <w:szCs w:val="20"/>
        </w:rPr>
      </w:pPr>
    </w:p>
    <w:p w14:paraId="573FE733" w14:textId="77777777" w:rsidR="008E7224" w:rsidRPr="00BC3B0C" w:rsidRDefault="008E7224" w:rsidP="00077B72">
      <w:pPr>
        <w:jc w:val="center"/>
        <w:rPr>
          <w:rFonts w:ascii="Arial" w:hAnsi="Arial" w:cs="Arial"/>
          <w:sz w:val="20"/>
          <w:szCs w:val="20"/>
        </w:rPr>
      </w:pPr>
      <w:r w:rsidRPr="00BC3B0C">
        <w:rPr>
          <w:rFonts w:ascii="Arial" w:hAnsi="Arial" w:cs="Arial"/>
          <w:sz w:val="20"/>
          <w:szCs w:val="20"/>
        </w:rPr>
        <w:t>(dále jen „</w:t>
      </w:r>
      <w:r w:rsidRPr="002377E0">
        <w:rPr>
          <w:rFonts w:ascii="Arial" w:hAnsi="Arial" w:cs="Arial"/>
          <w:b/>
          <w:sz w:val="20"/>
          <w:szCs w:val="20"/>
        </w:rPr>
        <w:t>smlouva o dodávkách</w:t>
      </w:r>
      <w:r w:rsidRPr="00BC3B0C">
        <w:rPr>
          <w:rFonts w:ascii="Arial" w:hAnsi="Arial" w:cs="Arial"/>
          <w:sz w:val="20"/>
          <w:szCs w:val="20"/>
        </w:rPr>
        <w:t>“)</w:t>
      </w:r>
    </w:p>
    <w:p w14:paraId="49957FEB" w14:textId="77777777" w:rsidR="00A73538" w:rsidRPr="00BC3B0C" w:rsidRDefault="00A73538" w:rsidP="00077B72">
      <w:pPr>
        <w:jc w:val="both"/>
        <w:rPr>
          <w:rFonts w:ascii="Arial" w:hAnsi="Arial" w:cs="Arial"/>
          <w:sz w:val="20"/>
          <w:szCs w:val="20"/>
        </w:rPr>
      </w:pPr>
    </w:p>
    <w:p w14:paraId="075945E6" w14:textId="77777777" w:rsidR="009D0A71" w:rsidRPr="00BC3B0C" w:rsidRDefault="009D0A71" w:rsidP="00077B72">
      <w:pPr>
        <w:jc w:val="both"/>
        <w:rPr>
          <w:rFonts w:ascii="Arial" w:hAnsi="Arial" w:cs="Arial"/>
          <w:sz w:val="20"/>
          <w:szCs w:val="20"/>
        </w:rPr>
      </w:pPr>
    </w:p>
    <w:p w14:paraId="06DB2EC6" w14:textId="7D49FF4E" w:rsidR="00A73538" w:rsidRPr="002377E0" w:rsidRDefault="00A73538" w:rsidP="00077B72">
      <w:pPr>
        <w:jc w:val="both"/>
        <w:rPr>
          <w:rFonts w:ascii="Arial" w:hAnsi="Arial" w:cs="Arial"/>
          <w:b/>
          <w:sz w:val="20"/>
          <w:szCs w:val="20"/>
        </w:rPr>
      </w:pPr>
      <w:r w:rsidRPr="002377E0">
        <w:rPr>
          <w:rFonts w:ascii="Arial" w:hAnsi="Arial" w:cs="Arial"/>
          <w:b/>
          <w:sz w:val="20"/>
          <w:szCs w:val="20"/>
        </w:rPr>
        <w:t>Správa železni</w:t>
      </w:r>
      <w:r w:rsidR="002348B1">
        <w:rPr>
          <w:rFonts w:ascii="Arial" w:hAnsi="Arial" w:cs="Arial"/>
          <w:b/>
          <w:sz w:val="20"/>
          <w:szCs w:val="20"/>
        </w:rPr>
        <w:t>c</w:t>
      </w:r>
      <w:r w:rsidRPr="002377E0">
        <w:rPr>
          <w:rFonts w:ascii="Arial" w:hAnsi="Arial" w:cs="Arial"/>
          <w:b/>
          <w:sz w:val="20"/>
          <w:szCs w:val="20"/>
        </w:rPr>
        <w:t>, státní organizace</w:t>
      </w:r>
    </w:p>
    <w:p w14:paraId="219E0779" w14:textId="77777777" w:rsidR="00A73538" w:rsidRPr="00BC3B0C" w:rsidRDefault="00224949" w:rsidP="00077B72">
      <w:pPr>
        <w:jc w:val="both"/>
        <w:rPr>
          <w:rFonts w:ascii="Arial" w:hAnsi="Arial" w:cs="Arial"/>
          <w:sz w:val="20"/>
          <w:szCs w:val="20"/>
        </w:rPr>
      </w:pPr>
      <w:r w:rsidRPr="00BC3B0C">
        <w:rPr>
          <w:rFonts w:ascii="Arial" w:hAnsi="Arial" w:cs="Arial"/>
          <w:sz w:val="20"/>
          <w:szCs w:val="20"/>
        </w:rPr>
        <w:t xml:space="preserve">se sídlem </w:t>
      </w:r>
      <w:r w:rsidR="00077B72" w:rsidRPr="00BC3B0C">
        <w:rPr>
          <w:rFonts w:ascii="Arial" w:hAnsi="Arial" w:cs="Arial"/>
          <w:sz w:val="20"/>
          <w:szCs w:val="20"/>
        </w:rPr>
        <w:t>Praha 1 - Nové Město, Dlážděná 1003/7, PSČ 11000</w:t>
      </w:r>
      <w:r w:rsidR="00A73538" w:rsidRPr="00BC3B0C">
        <w:rPr>
          <w:rFonts w:ascii="Arial" w:hAnsi="Arial" w:cs="Arial"/>
          <w:sz w:val="20"/>
          <w:szCs w:val="20"/>
        </w:rPr>
        <w:t>,</w:t>
      </w:r>
    </w:p>
    <w:p w14:paraId="46916082" w14:textId="77777777" w:rsidR="00077B72" w:rsidRPr="00BC3B0C" w:rsidRDefault="00077B72" w:rsidP="00077B72">
      <w:pPr>
        <w:jc w:val="both"/>
        <w:rPr>
          <w:rFonts w:ascii="Arial" w:hAnsi="Arial" w:cs="Arial"/>
          <w:sz w:val="20"/>
          <w:szCs w:val="20"/>
        </w:rPr>
      </w:pPr>
      <w:r w:rsidRPr="00BC3B0C">
        <w:rPr>
          <w:rFonts w:ascii="Arial" w:hAnsi="Arial" w:cs="Arial"/>
          <w:sz w:val="20"/>
          <w:szCs w:val="20"/>
        </w:rPr>
        <w:t>IČO: 709 94 234,</w:t>
      </w:r>
    </w:p>
    <w:p w14:paraId="523033DE" w14:textId="77777777" w:rsidR="00077B72" w:rsidRPr="00BC3B0C" w:rsidRDefault="00077B72" w:rsidP="00077B72">
      <w:pPr>
        <w:tabs>
          <w:tab w:val="left" w:pos="2268"/>
        </w:tabs>
        <w:jc w:val="both"/>
        <w:rPr>
          <w:rFonts w:ascii="Arial" w:hAnsi="Arial" w:cs="Arial"/>
          <w:sz w:val="20"/>
          <w:szCs w:val="20"/>
        </w:rPr>
      </w:pPr>
      <w:r w:rsidRPr="00BC3B0C">
        <w:rPr>
          <w:rFonts w:ascii="Arial" w:hAnsi="Arial" w:cs="Arial"/>
          <w:sz w:val="20"/>
          <w:szCs w:val="20"/>
        </w:rPr>
        <w:t>DIČ: CZ70994234,</w:t>
      </w:r>
    </w:p>
    <w:p w14:paraId="1E42A0EB" w14:textId="77777777" w:rsidR="00A73538" w:rsidRPr="00BC3B0C" w:rsidRDefault="00A73538" w:rsidP="00077B72">
      <w:pPr>
        <w:jc w:val="both"/>
        <w:rPr>
          <w:rFonts w:ascii="Arial" w:hAnsi="Arial" w:cs="Arial"/>
          <w:sz w:val="20"/>
          <w:szCs w:val="20"/>
        </w:rPr>
      </w:pPr>
      <w:r w:rsidRPr="00BC3B0C">
        <w:rPr>
          <w:rFonts w:ascii="Arial" w:hAnsi="Arial" w:cs="Arial"/>
          <w:sz w:val="20"/>
          <w:szCs w:val="20"/>
        </w:rPr>
        <w:t>zapsaná v obchodn</w:t>
      </w:r>
      <w:r w:rsidR="00D52211" w:rsidRPr="00BC3B0C">
        <w:rPr>
          <w:rFonts w:ascii="Arial" w:hAnsi="Arial" w:cs="Arial"/>
          <w:sz w:val="20"/>
          <w:szCs w:val="20"/>
        </w:rPr>
        <w:t>í</w:t>
      </w:r>
      <w:r w:rsidRPr="00BC3B0C">
        <w:rPr>
          <w:rFonts w:ascii="Arial" w:hAnsi="Arial" w:cs="Arial"/>
          <w:sz w:val="20"/>
          <w:szCs w:val="20"/>
        </w:rPr>
        <w:t>m rejstříku</w:t>
      </w:r>
      <w:r w:rsidR="00077B72" w:rsidRPr="00BC3B0C">
        <w:rPr>
          <w:rFonts w:ascii="Arial" w:hAnsi="Arial" w:cs="Arial"/>
          <w:sz w:val="20"/>
          <w:szCs w:val="20"/>
        </w:rPr>
        <w:t xml:space="preserve"> vedeným u</w:t>
      </w:r>
      <w:r w:rsidRPr="00BC3B0C">
        <w:rPr>
          <w:rFonts w:ascii="Arial" w:hAnsi="Arial" w:cs="Arial"/>
          <w:sz w:val="20"/>
          <w:szCs w:val="20"/>
        </w:rPr>
        <w:t xml:space="preserve"> Městského soudu v Praze, oddíl A, vložka 48384,</w:t>
      </w:r>
    </w:p>
    <w:p w14:paraId="7D2425F8" w14:textId="6B5F8D71" w:rsidR="00077B72" w:rsidRPr="00BC3B0C" w:rsidRDefault="00733E7C" w:rsidP="00077B72">
      <w:pPr>
        <w:tabs>
          <w:tab w:val="left" w:pos="1560"/>
        </w:tabs>
        <w:ind w:firstLine="1"/>
        <w:jc w:val="both"/>
        <w:rPr>
          <w:rFonts w:ascii="Arial" w:hAnsi="Arial" w:cs="Arial"/>
          <w:sz w:val="20"/>
          <w:szCs w:val="20"/>
        </w:rPr>
      </w:pPr>
      <w:r w:rsidRPr="00BC3B0C">
        <w:rPr>
          <w:rFonts w:ascii="Arial" w:hAnsi="Arial" w:cs="Arial"/>
          <w:sz w:val="20"/>
          <w:szCs w:val="20"/>
        </w:rPr>
        <w:t>bankovní spojení:</w:t>
      </w:r>
      <w:r w:rsidR="00E37CC6" w:rsidRPr="00BC3B0C">
        <w:rPr>
          <w:rFonts w:ascii="Arial" w:hAnsi="Arial" w:cs="Arial"/>
          <w:sz w:val="20"/>
          <w:szCs w:val="20"/>
        </w:rPr>
        <w:t xml:space="preserve"> </w:t>
      </w:r>
      <w:r w:rsidR="00E35558">
        <w:rPr>
          <w:rFonts w:ascii="Arial" w:hAnsi="Arial" w:cs="Arial"/>
          <w:sz w:val="20"/>
          <w:szCs w:val="20"/>
        </w:rPr>
        <w:t>Česká národní banka</w:t>
      </w:r>
      <w:r w:rsidRPr="00BC3B0C">
        <w:rPr>
          <w:rFonts w:ascii="Arial" w:hAnsi="Arial" w:cs="Arial"/>
          <w:sz w:val="20"/>
          <w:szCs w:val="20"/>
        </w:rPr>
        <w:t>,</w:t>
      </w:r>
    </w:p>
    <w:p w14:paraId="6ED189AF" w14:textId="12196688" w:rsidR="00733E7C" w:rsidRPr="00BC3B0C" w:rsidRDefault="00733E7C" w:rsidP="00077B72">
      <w:pPr>
        <w:tabs>
          <w:tab w:val="left" w:pos="1560"/>
        </w:tabs>
        <w:ind w:firstLine="1"/>
        <w:jc w:val="both"/>
        <w:rPr>
          <w:rFonts w:ascii="Arial" w:hAnsi="Arial" w:cs="Arial"/>
          <w:sz w:val="20"/>
          <w:szCs w:val="20"/>
        </w:rPr>
      </w:pPr>
      <w:r w:rsidRPr="00BC3B0C">
        <w:rPr>
          <w:rFonts w:ascii="Arial" w:hAnsi="Arial" w:cs="Arial"/>
          <w:sz w:val="20"/>
          <w:szCs w:val="20"/>
        </w:rPr>
        <w:t>číslo účtu</w:t>
      </w:r>
      <w:r w:rsidR="00077B72" w:rsidRPr="00BC3B0C">
        <w:rPr>
          <w:rFonts w:ascii="Arial" w:hAnsi="Arial" w:cs="Arial"/>
          <w:sz w:val="20"/>
          <w:szCs w:val="20"/>
        </w:rPr>
        <w:t xml:space="preserve">: </w:t>
      </w:r>
      <w:r w:rsidR="00E35558" w:rsidRPr="00E35558">
        <w:rPr>
          <w:rFonts w:ascii="Arial" w:hAnsi="Arial" w:cs="Arial"/>
          <w:sz w:val="20"/>
          <w:szCs w:val="20"/>
        </w:rPr>
        <w:t>7804511/0710</w:t>
      </w:r>
      <w:r w:rsidR="00077B72" w:rsidRPr="00BC3B0C">
        <w:rPr>
          <w:rFonts w:ascii="Arial" w:hAnsi="Arial" w:cs="Arial"/>
          <w:sz w:val="20"/>
          <w:szCs w:val="20"/>
        </w:rPr>
        <w:t>,</w:t>
      </w:r>
    </w:p>
    <w:p w14:paraId="170EC57D" w14:textId="2A6BA5FC" w:rsidR="00067EC2" w:rsidRPr="00BC3B0C" w:rsidRDefault="00067EC2" w:rsidP="00077B72">
      <w:pPr>
        <w:jc w:val="both"/>
        <w:rPr>
          <w:rFonts w:ascii="Arial" w:hAnsi="Arial" w:cs="Arial"/>
          <w:sz w:val="20"/>
          <w:szCs w:val="20"/>
        </w:rPr>
      </w:pPr>
      <w:r w:rsidRPr="00BC3B0C">
        <w:rPr>
          <w:rFonts w:ascii="Arial" w:hAnsi="Arial" w:cs="Arial"/>
          <w:sz w:val="20"/>
          <w:szCs w:val="20"/>
        </w:rPr>
        <w:t>zastoupená</w:t>
      </w:r>
      <w:r w:rsidR="00E37CC6" w:rsidRPr="00BC3B0C">
        <w:rPr>
          <w:rFonts w:ascii="Arial" w:hAnsi="Arial" w:cs="Arial"/>
          <w:sz w:val="20"/>
          <w:szCs w:val="20"/>
        </w:rPr>
        <w:t>:</w:t>
      </w:r>
      <w:r w:rsidRPr="00BC3B0C">
        <w:rPr>
          <w:rFonts w:ascii="Arial" w:hAnsi="Arial" w:cs="Arial"/>
          <w:sz w:val="20"/>
          <w:szCs w:val="20"/>
        </w:rPr>
        <w:t xml:space="preserve"> </w:t>
      </w:r>
      <w:r w:rsidR="004C25AD">
        <w:rPr>
          <w:rFonts w:ascii="Arial" w:hAnsi="Arial" w:cs="Arial"/>
          <w:sz w:val="20"/>
          <w:szCs w:val="20"/>
        </w:rPr>
        <w:t>[</w:t>
      </w:r>
      <w:r w:rsidR="004C25AD" w:rsidRPr="004C25AD">
        <w:rPr>
          <w:rFonts w:ascii="Arial" w:hAnsi="Arial" w:cs="Arial"/>
          <w:sz w:val="20"/>
          <w:szCs w:val="20"/>
          <w:highlight w:val="yellow"/>
        </w:rPr>
        <w:t>bude doplněno</w:t>
      </w:r>
      <w:r w:rsidR="004C25AD">
        <w:rPr>
          <w:rFonts w:ascii="Arial" w:hAnsi="Arial" w:cs="Arial"/>
          <w:sz w:val="20"/>
          <w:szCs w:val="20"/>
        </w:rPr>
        <w:t>],</w:t>
      </w:r>
    </w:p>
    <w:p w14:paraId="371F6351" w14:textId="77777777" w:rsidR="00A73538" w:rsidRPr="00BC3B0C" w:rsidRDefault="00A73538" w:rsidP="00077B72">
      <w:pPr>
        <w:tabs>
          <w:tab w:val="left" w:pos="2268"/>
        </w:tabs>
        <w:jc w:val="both"/>
        <w:rPr>
          <w:rFonts w:ascii="Arial" w:hAnsi="Arial" w:cs="Arial"/>
          <w:sz w:val="20"/>
          <w:szCs w:val="20"/>
        </w:rPr>
      </w:pPr>
    </w:p>
    <w:p w14:paraId="4A31E461" w14:textId="77777777" w:rsidR="00A73538" w:rsidRPr="00BC3B0C" w:rsidRDefault="00F655DC" w:rsidP="00077B72">
      <w:pPr>
        <w:tabs>
          <w:tab w:val="left" w:pos="2268"/>
        </w:tabs>
        <w:jc w:val="both"/>
        <w:rPr>
          <w:rFonts w:ascii="Arial" w:hAnsi="Arial" w:cs="Arial"/>
          <w:sz w:val="20"/>
          <w:szCs w:val="20"/>
        </w:rPr>
      </w:pPr>
      <w:r w:rsidRPr="00BC3B0C">
        <w:rPr>
          <w:rFonts w:ascii="Arial" w:hAnsi="Arial" w:cs="Arial"/>
          <w:sz w:val="20"/>
          <w:szCs w:val="20"/>
        </w:rPr>
        <w:t>(dále jen „</w:t>
      </w:r>
      <w:r w:rsidR="00E368C5" w:rsidRPr="002377E0">
        <w:rPr>
          <w:rFonts w:ascii="Arial" w:hAnsi="Arial" w:cs="Arial"/>
          <w:b/>
          <w:sz w:val="20"/>
          <w:szCs w:val="20"/>
        </w:rPr>
        <w:t>provozovatel</w:t>
      </w:r>
      <w:r w:rsidRPr="00BC3B0C">
        <w:rPr>
          <w:rFonts w:ascii="Arial" w:hAnsi="Arial" w:cs="Arial"/>
          <w:sz w:val="20"/>
          <w:szCs w:val="20"/>
        </w:rPr>
        <w:t>“)</w:t>
      </w:r>
    </w:p>
    <w:p w14:paraId="771341CA" w14:textId="77777777" w:rsidR="004062B6" w:rsidRPr="00BC3B0C" w:rsidRDefault="004062B6" w:rsidP="00077B72">
      <w:pPr>
        <w:jc w:val="both"/>
        <w:rPr>
          <w:rFonts w:ascii="Arial" w:hAnsi="Arial" w:cs="Arial"/>
          <w:sz w:val="20"/>
          <w:szCs w:val="20"/>
        </w:rPr>
      </w:pPr>
    </w:p>
    <w:p w14:paraId="38CFD972" w14:textId="77777777" w:rsidR="00F655DC" w:rsidRPr="00BC3B0C" w:rsidRDefault="00F655DC" w:rsidP="00077B72">
      <w:pPr>
        <w:jc w:val="both"/>
        <w:rPr>
          <w:rFonts w:ascii="Arial" w:hAnsi="Arial" w:cs="Arial"/>
          <w:sz w:val="20"/>
          <w:szCs w:val="20"/>
        </w:rPr>
      </w:pPr>
      <w:r w:rsidRPr="00BC3B0C">
        <w:rPr>
          <w:rFonts w:ascii="Arial" w:hAnsi="Arial" w:cs="Arial"/>
          <w:sz w:val="20"/>
          <w:szCs w:val="20"/>
        </w:rPr>
        <w:t>a</w:t>
      </w:r>
    </w:p>
    <w:p w14:paraId="18D5B605" w14:textId="77777777" w:rsidR="00F655DC" w:rsidRPr="00BC3B0C" w:rsidRDefault="00F655DC" w:rsidP="00077B72">
      <w:pPr>
        <w:jc w:val="both"/>
        <w:rPr>
          <w:rFonts w:ascii="Arial" w:hAnsi="Arial" w:cs="Arial"/>
          <w:sz w:val="20"/>
          <w:szCs w:val="20"/>
        </w:rPr>
      </w:pPr>
    </w:p>
    <w:p w14:paraId="04B66AE7" w14:textId="77777777" w:rsidR="008906F0" w:rsidRPr="004C25AD" w:rsidRDefault="004C25AD" w:rsidP="00077B72">
      <w:pPr>
        <w:jc w:val="both"/>
        <w:rPr>
          <w:rFonts w:ascii="Arial" w:hAnsi="Arial" w:cs="Arial"/>
          <w:b/>
          <w:bCs/>
          <w:sz w:val="20"/>
          <w:szCs w:val="20"/>
        </w:rPr>
      </w:pPr>
      <w:r w:rsidRPr="004C25AD">
        <w:rPr>
          <w:rFonts w:ascii="Arial" w:hAnsi="Arial" w:cs="Arial"/>
          <w:b/>
          <w:bCs/>
          <w:sz w:val="20"/>
          <w:szCs w:val="20"/>
        </w:rPr>
        <w:t>[</w:t>
      </w:r>
      <w:r w:rsidRPr="004C25AD">
        <w:rPr>
          <w:rFonts w:ascii="Arial" w:hAnsi="Arial" w:cs="Arial"/>
          <w:b/>
          <w:bCs/>
          <w:sz w:val="20"/>
          <w:szCs w:val="20"/>
          <w:highlight w:val="yellow"/>
        </w:rPr>
        <w:t>bude doplněno</w:t>
      </w:r>
      <w:r w:rsidRPr="004C25AD">
        <w:rPr>
          <w:rFonts w:ascii="Arial" w:hAnsi="Arial" w:cs="Arial"/>
          <w:b/>
          <w:bCs/>
          <w:sz w:val="20"/>
          <w:szCs w:val="20"/>
        </w:rPr>
        <w:t>]</w:t>
      </w:r>
    </w:p>
    <w:p w14:paraId="00CC09B0" w14:textId="3D6D667F" w:rsidR="008906F0" w:rsidRPr="005E2465" w:rsidRDefault="00224949" w:rsidP="00077B72">
      <w:pPr>
        <w:jc w:val="both"/>
        <w:rPr>
          <w:rFonts w:ascii="Arial" w:hAnsi="Arial" w:cs="Arial"/>
          <w:sz w:val="20"/>
          <w:szCs w:val="20"/>
        </w:rPr>
      </w:pPr>
      <w:r w:rsidRPr="005E2465">
        <w:rPr>
          <w:rFonts w:ascii="Arial" w:hAnsi="Arial" w:cs="Arial"/>
          <w:sz w:val="20"/>
          <w:szCs w:val="20"/>
        </w:rPr>
        <w:t>se sídlem</w:t>
      </w:r>
      <w:r w:rsidR="00077B72" w:rsidRPr="005E2465">
        <w:rPr>
          <w:rFonts w:ascii="Arial" w:hAnsi="Arial" w:cs="Arial"/>
          <w:sz w:val="20"/>
          <w:szCs w:val="20"/>
        </w:rPr>
        <w:t xml:space="preserve"> </w:t>
      </w:r>
      <w:r w:rsidR="004C25AD">
        <w:rPr>
          <w:rFonts w:ascii="Arial" w:hAnsi="Arial" w:cs="Arial"/>
          <w:sz w:val="20"/>
          <w:szCs w:val="20"/>
        </w:rPr>
        <w:t>[</w:t>
      </w:r>
      <w:r w:rsidR="004C25AD" w:rsidRPr="004C25AD">
        <w:rPr>
          <w:rFonts w:ascii="Arial" w:hAnsi="Arial" w:cs="Arial"/>
          <w:sz w:val="20"/>
          <w:szCs w:val="20"/>
          <w:highlight w:val="yellow"/>
        </w:rPr>
        <w:t>bude doplněno</w:t>
      </w:r>
      <w:r w:rsidR="004C25AD">
        <w:rPr>
          <w:rFonts w:ascii="Arial" w:hAnsi="Arial" w:cs="Arial"/>
          <w:sz w:val="20"/>
          <w:szCs w:val="20"/>
        </w:rPr>
        <w:t>]</w:t>
      </w:r>
      <w:r w:rsidR="008A54C2" w:rsidRPr="008A54C2">
        <w:rPr>
          <w:rFonts w:ascii="Arial" w:hAnsi="Arial" w:cs="Arial"/>
          <w:sz w:val="20"/>
          <w:szCs w:val="20"/>
        </w:rPr>
        <w:t>,</w:t>
      </w:r>
    </w:p>
    <w:p w14:paraId="2E9C5258" w14:textId="4A8B398D" w:rsidR="00077B72" w:rsidRPr="005E2465" w:rsidRDefault="00077B72" w:rsidP="00077B72">
      <w:pPr>
        <w:jc w:val="both"/>
        <w:rPr>
          <w:rFonts w:ascii="Arial" w:hAnsi="Arial" w:cs="Arial"/>
          <w:sz w:val="20"/>
          <w:szCs w:val="20"/>
        </w:rPr>
      </w:pPr>
      <w:r w:rsidRPr="005E2465">
        <w:rPr>
          <w:rFonts w:ascii="Arial" w:hAnsi="Arial" w:cs="Arial"/>
          <w:sz w:val="20"/>
          <w:szCs w:val="20"/>
        </w:rPr>
        <w:t xml:space="preserve">IČO: </w:t>
      </w:r>
      <w:r w:rsidR="004C25AD">
        <w:rPr>
          <w:rFonts w:ascii="Arial" w:hAnsi="Arial" w:cs="Arial"/>
          <w:sz w:val="20"/>
          <w:szCs w:val="20"/>
        </w:rPr>
        <w:t>[</w:t>
      </w:r>
      <w:r w:rsidR="004C25AD" w:rsidRPr="004C25AD">
        <w:rPr>
          <w:rFonts w:ascii="Arial" w:hAnsi="Arial" w:cs="Arial"/>
          <w:sz w:val="20"/>
          <w:szCs w:val="20"/>
          <w:highlight w:val="yellow"/>
        </w:rPr>
        <w:t>bude doplněno</w:t>
      </w:r>
      <w:r w:rsidR="004C25AD">
        <w:rPr>
          <w:rFonts w:ascii="Arial" w:hAnsi="Arial" w:cs="Arial"/>
          <w:sz w:val="20"/>
          <w:szCs w:val="20"/>
        </w:rPr>
        <w:t>]</w:t>
      </w:r>
      <w:r w:rsidRPr="005E2465">
        <w:rPr>
          <w:rFonts w:ascii="Arial" w:hAnsi="Arial" w:cs="Arial"/>
          <w:sz w:val="20"/>
          <w:szCs w:val="20"/>
        </w:rPr>
        <w:t>,</w:t>
      </w:r>
    </w:p>
    <w:p w14:paraId="3E0FD6A8" w14:textId="5B38EE86" w:rsidR="00077B72" w:rsidRPr="005E2465" w:rsidRDefault="00077B72" w:rsidP="00077B72">
      <w:pPr>
        <w:jc w:val="both"/>
        <w:rPr>
          <w:rFonts w:ascii="Arial" w:hAnsi="Arial" w:cs="Arial"/>
          <w:sz w:val="20"/>
          <w:szCs w:val="20"/>
        </w:rPr>
      </w:pPr>
      <w:r w:rsidRPr="005E2465">
        <w:rPr>
          <w:rFonts w:ascii="Arial" w:hAnsi="Arial" w:cs="Arial"/>
          <w:sz w:val="20"/>
          <w:szCs w:val="20"/>
        </w:rPr>
        <w:t xml:space="preserve">DIČ: </w:t>
      </w:r>
      <w:r w:rsidR="004C25AD">
        <w:rPr>
          <w:rFonts w:ascii="Arial" w:hAnsi="Arial" w:cs="Arial"/>
          <w:sz w:val="20"/>
          <w:szCs w:val="20"/>
        </w:rPr>
        <w:t>[</w:t>
      </w:r>
      <w:r w:rsidR="004C25AD" w:rsidRPr="004C25AD">
        <w:rPr>
          <w:rFonts w:ascii="Arial" w:hAnsi="Arial" w:cs="Arial"/>
          <w:sz w:val="20"/>
          <w:szCs w:val="20"/>
          <w:highlight w:val="yellow"/>
        </w:rPr>
        <w:t>bude doplněno</w:t>
      </w:r>
      <w:r w:rsidR="004C25AD">
        <w:rPr>
          <w:rFonts w:ascii="Arial" w:hAnsi="Arial" w:cs="Arial"/>
          <w:sz w:val="20"/>
          <w:szCs w:val="20"/>
        </w:rPr>
        <w:t>]</w:t>
      </w:r>
      <w:r w:rsidRPr="005E2465">
        <w:rPr>
          <w:rFonts w:ascii="Arial" w:hAnsi="Arial" w:cs="Arial"/>
          <w:sz w:val="20"/>
          <w:szCs w:val="20"/>
        </w:rPr>
        <w:t>,</w:t>
      </w:r>
    </w:p>
    <w:p w14:paraId="08C57990" w14:textId="69ABECE0" w:rsidR="002469F4" w:rsidRDefault="008906F0" w:rsidP="002469F4">
      <w:pPr>
        <w:spacing w:line="276" w:lineRule="auto"/>
      </w:pPr>
      <w:r w:rsidRPr="005E2465">
        <w:rPr>
          <w:rFonts w:ascii="Arial" w:hAnsi="Arial" w:cs="Arial"/>
          <w:sz w:val="20"/>
          <w:szCs w:val="20"/>
        </w:rPr>
        <w:t>zapsaná v obchodním rejstříku</w:t>
      </w:r>
      <w:r w:rsidR="004D27EA" w:rsidRPr="005E2465">
        <w:rPr>
          <w:rFonts w:ascii="Arial" w:hAnsi="Arial" w:cs="Arial"/>
          <w:sz w:val="20"/>
          <w:szCs w:val="20"/>
        </w:rPr>
        <w:t xml:space="preserve"> vedeným </w:t>
      </w:r>
      <w:r w:rsidR="004D27EA" w:rsidRPr="00E45557">
        <w:rPr>
          <w:rFonts w:ascii="Arial" w:hAnsi="Arial" w:cs="Arial"/>
          <w:sz w:val="20"/>
          <w:szCs w:val="20"/>
        </w:rPr>
        <w:t>u</w:t>
      </w:r>
      <w:r w:rsidR="001A1B97" w:rsidRPr="00E45557">
        <w:rPr>
          <w:rFonts w:ascii="Arial" w:hAnsi="Arial" w:cs="Arial"/>
          <w:sz w:val="20"/>
          <w:szCs w:val="20"/>
        </w:rPr>
        <w:t xml:space="preserve"> </w:t>
      </w:r>
      <w:r w:rsidR="004C25AD">
        <w:rPr>
          <w:rFonts w:ascii="Arial" w:hAnsi="Arial" w:cs="Arial"/>
          <w:sz w:val="20"/>
          <w:szCs w:val="20"/>
        </w:rPr>
        <w:t>[</w:t>
      </w:r>
      <w:r w:rsidR="004C25AD" w:rsidRPr="004C25AD">
        <w:rPr>
          <w:rFonts w:ascii="Arial" w:hAnsi="Arial" w:cs="Arial"/>
          <w:sz w:val="20"/>
          <w:szCs w:val="20"/>
          <w:highlight w:val="yellow"/>
        </w:rPr>
        <w:t>bude doplněno</w:t>
      </w:r>
      <w:r w:rsidR="004C25AD">
        <w:rPr>
          <w:rFonts w:ascii="Arial" w:hAnsi="Arial" w:cs="Arial"/>
          <w:sz w:val="20"/>
          <w:szCs w:val="20"/>
        </w:rPr>
        <w:t>]</w:t>
      </w:r>
      <w:r w:rsidR="00E31ED1" w:rsidRPr="00E45557">
        <w:rPr>
          <w:rFonts w:ascii="Arial" w:hAnsi="Arial" w:cs="Arial"/>
          <w:sz w:val="20"/>
          <w:szCs w:val="20"/>
        </w:rPr>
        <w:t xml:space="preserve">, oddíl </w:t>
      </w:r>
      <w:r w:rsidR="004C25AD">
        <w:rPr>
          <w:rFonts w:ascii="Arial" w:hAnsi="Arial" w:cs="Arial"/>
          <w:sz w:val="20"/>
          <w:szCs w:val="20"/>
        </w:rPr>
        <w:t>[</w:t>
      </w:r>
      <w:r w:rsidR="004C25AD" w:rsidRPr="004C25AD">
        <w:rPr>
          <w:rFonts w:ascii="Arial" w:hAnsi="Arial" w:cs="Arial"/>
          <w:sz w:val="20"/>
          <w:szCs w:val="20"/>
          <w:highlight w:val="yellow"/>
        </w:rPr>
        <w:t>bude doplněno</w:t>
      </w:r>
      <w:r w:rsidR="004C25AD">
        <w:rPr>
          <w:rFonts w:ascii="Arial" w:hAnsi="Arial" w:cs="Arial"/>
          <w:sz w:val="20"/>
          <w:szCs w:val="20"/>
        </w:rPr>
        <w:t>]</w:t>
      </w:r>
      <w:r w:rsidR="00E31ED1" w:rsidRPr="00E45557">
        <w:rPr>
          <w:rFonts w:ascii="Arial" w:hAnsi="Arial" w:cs="Arial"/>
          <w:sz w:val="20"/>
          <w:szCs w:val="20"/>
        </w:rPr>
        <w:t xml:space="preserve">, vložka </w:t>
      </w:r>
      <w:r w:rsidR="004C25AD">
        <w:rPr>
          <w:rFonts w:ascii="Arial" w:hAnsi="Arial" w:cs="Arial"/>
          <w:sz w:val="20"/>
          <w:szCs w:val="20"/>
        </w:rPr>
        <w:t>[</w:t>
      </w:r>
      <w:r w:rsidR="004C25AD" w:rsidRPr="004C25AD">
        <w:rPr>
          <w:rFonts w:ascii="Arial" w:hAnsi="Arial" w:cs="Arial"/>
          <w:sz w:val="20"/>
          <w:szCs w:val="20"/>
          <w:highlight w:val="yellow"/>
        </w:rPr>
        <w:t>bude doplněno</w:t>
      </w:r>
      <w:r w:rsidR="004C25AD">
        <w:rPr>
          <w:rFonts w:ascii="Arial" w:hAnsi="Arial" w:cs="Arial"/>
          <w:sz w:val="20"/>
          <w:szCs w:val="20"/>
        </w:rPr>
        <w:t>],</w:t>
      </w:r>
      <w:r w:rsidR="002469F4" w:rsidRPr="001D7A33">
        <w:t xml:space="preserve"> </w:t>
      </w:r>
    </w:p>
    <w:p w14:paraId="323FA15C" w14:textId="03AB3D8C" w:rsidR="00077B72" w:rsidRPr="005E2465" w:rsidRDefault="00077B72" w:rsidP="00077B72">
      <w:pPr>
        <w:tabs>
          <w:tab w:val="left" w:pos="1560"/>
        </w:tabs>
        <w:ind w:firstLine="1"/>
        <w:jc w:val="both"/>
        <w:rPr>
          <w:rFonts w:ascii="Arial" w:hAnsi="Arial" w:cs="Arial"/>
          <w:sz w:val="20"/>
          <w:szCs w:val="20"/>
        </w:rPr>
      </w:pPr>
      <w:r w:rsidRPr="005E2465">
        <w:rPr>
          <w:rFonts w:ascii="Arial" w:hAnsi="Arial" w:cs="Arial"/>
          <w:sz w:val="20"/>
          <w:szCs w:val="20"/>
        </w:rPr>
        <w:t>bankovní spojení:</w:t>
      </w:r>
      <w:r w:rsidR="002462F5">
        <w:t xml:space="preserve"> </w:t>
      </w:r>
      <w:r w:rsidR="004C25AD">
        <w:rPr>
          <w:rFonts w:ascii="Arial" w:hAnsi="Arial" w:cs="Arial"/>
          <w:sz w:val="20"/>
          <w:szCs w:val="20"/>
        </w:rPr>
        <w:t>[</w:t>
      </w:r>
      <w:r w:rsidR="004C25AD" w:rsidRPr="004C25AD">
        <w:rPr>
          <w:rFonts w:ascii="Arial" w:hAnsi="Arial" w:cs="Arial"/>
          <w:sz w:val="20"/>
          <w:szCs w:val="20"/>
          <w:highlight w:val="yellow"/>
        </w:rPr>
        <w:t>bude doplněno</w:t>
      </w:r>
      <w:r w:rsidR="004C25AD">
        <w:rPr>
          <w:rFonts w:ascii="Arial" w:hAnsi="Arial" w:cs="Arial"/>
          <w:sz w:val="20"/>
          <w:szCs w:val="20"/>
        </w:rPr>
        <w:t>],</w:t>
      </w:r>
    </w:p>
    <w:p w14:paraId="4E1E0CA1" w14:textId="5B64D41D" w:rsidR="00077B72" w:rsidRPr="00BC3B0C" w:rsidRDefault="00077B72" w:rsidP="00077B72">
      <w:pPr>
        <w:tabs>
          <w:tab w:val="left" w:pos="1560"/>
        </w:tabs>
        <w:ind w:firstLine="1"/>
        <w:jc w:val="both"/>
        <w:rPr>
          <w:rFonts w:ascii="Arial" w:hAnsi="Arial" w:cs="Arial"/>
          <w:sz w:val="20"/>
          <w:szCs w:val="20"/>
        </w:rPr>
      </w:pPr>
      <w:r w:rsidRPr="005E2465">
        <w:rPr>
          <w:rFonts w:ascii="Arial" w:hAnsi="Arial" w:cs="Arial"/>
          <w:sz w:val="20"/>
          <w:szCs w:val="20"/>
        </w:rPr>
        <w:t xml:space="preserve">číslo účtu: </w:t>
      </w:r>
      <w:r w:rsidR="004C25AD">
        <w:rPr>
          <w:rFonts w:ascii="Arial" w:hAnsi="Arial" w:cs="Arial"/>
          <w:sz w:val="20"/>
          <w:szCs w:val="20"/>
        </w:rPr>
        <w:t>[</w:t>
      </w:r>
      <w:r w:rsidR="004C25AD" w:rsidRPr="004C25AD">
        <w:rPr>
          <w:rFonts w:ascii="Arial" w:hAnsi="Arial" w:cs="Arial"/>
          <w:sz w:val="20"/>
          <w:szCs w:val="20"/>
          <w:highlight w:val="yellow"/>
        </w:rPr>
        <w:t>bude doplněno</w:t>
      </w:r>
      <w:r w:rsidR="004C25AD">
        <w:rPr>
          <w:rFonts w:ascii="Arial" w:hAnsi="Arial" w:cs="Arial"/>
          <w:sz w:val="20"/>
          <w:szCs w:val="20"/>
        </w:rPr>
        <w:t>],</w:t>
      </w:r>
    </w:p>
    <w:p w14:paraId="0784CECD" w14:textId="462A357A" w:rsidR="00077B72" w:rsidRPr="00BC3B0C" w:rsidRDefault="00077B72" w:rsidP="00077B72">
      <w:pPr>
        <w:jc w:val="both"/>
        <w:rPr>
          <w:rFonts w:ascii="Arial" w:hAnsi="Arial" w:cs="Arial"/>
          <w:sz w:val="20"/>
          <w:szCs w:val="20"/>
        </w:rPr>
      </w:pPr>
      <w:r w:rsidRPr="00BC3B0C">
        <w:rPr>
          <w:rFonts w:ascii="Arial" w:hAnsi="Arial" w:cs="Arial"/>
          <w:sz w:val="20"/>
          <w:szCs w:val="20"/>
        </w:rPr>
        <w:t>zastoupená</w:t>
      </w:r>
      <w:r w:rsidR="00E37CC6" w:rsidRPr="00BC3B0C">
        <w:rPr>
          <w:rFonts w:ascii="Arial" w:hAnsi="Arial" w:cs="Arial"/>
          <w:sz w:val="20"/>
          <w:szCs w:val="20"/>
        </w:rPr>
        <w:t>:</w:t>
      </w:r>
      <w:r w:rsidR="009B5CEE">
        <w:rPr>
          <w:rFonts w:ascii="Arial" w:hAnsi="Arial" w:cs="Arial"/>
          <w:sz w:val="20"/>
          <w:szCs w:val="20"/>
        </w:rPr>
        <w:t xml:space="preserve"> </w:t>
      </w:r>
      <w:r w:rsidR="004C25AD">
        <w:rPr>
          <w:rFonts w:ascii="Arial" w:hAnsi="Arial" w:cs="Arial"/>
          <w:sz w:val="20"/>
          <w:szCs w:val="20"/>
        </w:rPr>
        <w:t>[</w:t>
      </w:r>
      <w:r w:rsidR="004C25AD" w:rsidRPr="004C25AD">
        <w:rPr>
          <w:rFonts w:ascii="Arial" w:hAnsi="Arial" w:cs="Arial"/>
          <w:sz w:val="20"/>
          <w:szCs w:val="20"/>
          <w:highlight w:val="yellow"/>
        </w:rPr>
        <w:t>bude doplněno</w:t>
      </w:r>
      <w:r w:rsidR="004C25AD">
        <w:rPr>
          <w:rFonts w:ascii="Arial" w:hAnsi="Arial" w:cs="Arial"/>
          <w:sz w:val="20"/>
          <w:szCs w:val="20"/>
        </w:rPr>
        <w:t>],</w:t>
      </w:r>
    </w:p>
    <w:p w14:paraId="6FF3353C" w14:textId="77777777" w:rsidR="00417692" w:rsidRPr="00BC3B0C" w:rsidRDefault="00417692" w:rsidP="00077B72">
      <w:pPr>
        <w:jc w:val="both"/>
        <w:rPr>
          <w:rFonts w:ascii="Arial" w:hAnsi="Arial" w:cs="Arial"/>
          <w:sz w:val="20"/>
          <w:szCs w:val="20"/>
        </w:rPr>
      </w:pPr>
    </w:p>
    <w:p w14:paraId="604E2E37" w14:textId="77777777" w:rsidR="00B073A9" w:rsidRPr="00BC3B0C" w:rsidRDefault="00B073A9" w:rsidP="00077B72">
      <w:pPr>
        <w:jc w:val="both"/>
        <w:rPr>
          <w:rFonts w:ascii="Arial" w:hAnsi="Arial" w:cs="Arial"/>
          <w:sz w:val="20"/>
          <w:szCs w:val="20"/>
        </w:rPr>
      </w:pPr>
      <w:r w:rsidRPr="00BC3B0C">
        <w:rPr>
          <w:rFonts w:ascii="Arial" w:hAnsi="Arial" w:cs="Arial"/>
          <w:sz w:val="20"/>
          <w:szCs w:val="20"/>
        </w:rPr>
        <w:t>(dále jen „</w:t>
      </w:r>
      <w:r w:rsidRPr="002377E0">
        <w:rPr>
          <w:rFonts w:ascii="Arial" w:hAnsi="Arial" w:cs="Arial"/>
          <w:b/>
          <w:sz w:val="20"/>
          <w:szCs w:val="20"/>
        </w:rPr>
        <w:t>dopravce</w:t>
      </w:r>
      <w:r w:rsidRPr="00BC3B0C">
        <w:rPr>
          <w:rFonts w:ascii="Arial" w:hAnsi="Arial" w:cs="Arial"/>
          <w:sz w:val="20"/>
          <w:szCs w:val="20"/>
        </w:rPr>
        <w:t>“)</w:t>
      </w:r>
      <w:r w:rsidR="008E7224" w:rsidRPr="00BC3B0C">
        <w:rPr>
          <w:rFonts w:ascii="Arial" w:hAnsi="Arial" w:cs="Arial"/>
          <w:sz w:val="20"/>
          <w:szCs w:val="20"/>
        </w:rPr>
        <w:t>,</w:t>
      </w:r>
    </w:p>
    <w:p w14:paraId="324FD1B8" w14:textId="77777777" w:rsidR="00077B72" w:rsidRPr="00BC3B0C" w:rsidRDefault="00077B72" w:rsidP="00077B72">
      <w:pPr>
        <w:jc w:val="both"/>
        <w:rPr>
          <w:rFonts w:ascii="Arial" w:hAnsi="Arial" w:cs="Arial"/>
          <w:sz w:val="20"/>
          <w:szCs w:val="20"/>
        </w:rPr>
      </w:pPr>
      <w:r w:rsidRPr="00BC3B0C">
        <w:rPr>
          <w:rFonts w:ascii="Arial" w:hAnsi="Arial" w:cs="Arial"/>
          <w:sz w:val="20"/>
          <w:szCs w:val="20"/>
        </w:rPr>
        <w:t>(provozovatel a dopravce dále společně jako „</w:t>
      </w:r>
      <w:r w:rsidR="008E7224" w:rsidRPr="002377E0">
        <w:rPr>
          <w:rFonts w:ascii="Arial" w:hAnsi="Arial" w:cs="Arial"/>
          <w:b/>
          <w:sz w:val="20"/>
          <w:szCs w:val="20"/>
        </w:rPr>
        <w:t>smluvní</w:t>
      </w:r>
      <w:r w:rsidRPr="002377E0">
        <w:rPr>
          <w:rFonts w:ascii="Arial" w:hAnsi="Arial" w:cs="Arial"/>
          <w:b/>
          <w:sz w:val="20"/>
          <w:szCs w:val="20"/>
        </w:rPr>
        <w:t xml:space="preserve"> stran</w:t>
      </w:r>
      <w:r w:rsidRPr="00BC3B0C">
        <w:rPr>
          <w:rFonts w:ascii="Arial" w:hAnsi="Arial" w:cs="Arial"/>
          <w:sz w:val="20"/>
          <w:szCs w:val="20"/>
        </w:rPr>
        <w:t>y“ nebo jednotlivě jako „</w:t>
      </w:r>
      <w:r w:rsidRPr="002377E0">
        <w:rPr>
          <w:rFonts w:ascii="Arial" w:hAnsi="Arial" w:cs="Arial"/>
          <w:b/>
          <w:sz w:val="20"/>
          <w:szCs w:val="20"/>
        </w:rPr>
        <w:t>smluvní strana</w:t>
      </w:r>
      <w:r w:rsidRPr="00BC3B0C">
        <w:rPr>
          <w:rFonts w:ascii="Arial" w:hAnsi="Arial" w:cs="Arial"/>
          <w:sz w:val="20"/>
          <w:szCs w:val="20"/>
        </w:rPr>
        <w:t>“)</w:t>
      </w:r>
      <w:r w:rsidR="008E7224" w:rsidRPr="00BC3B0C">
        <w:rPr>
          <w:rFonts w:ascii="Arial" w:hAnsi="Arial" w:cs="Arial"/>
          <w:sz w:val="20"/>
          <w:szCs w:val="20"/>
        </w:rPr>
        <w:t>,</w:t>
      </w:r>
    </w:p>
    <w:p w14:paraId="3B2D3C3D" w14:textId="77777777" w:rsidR="008E7224" w:rsidRPr="00BC3B0C" w:rsidRDefault="008E7224" w:rsidP="008E7224">
      <w:pPr>
        <w:jc w:val="both"/>
        <w:rPr>
          <w:rFonts w:ascii="Arial" w:hAnsi="Arial" w:cs="Arial"/>
          <w:sz w:val="20"/>
          <w:szCs w:val="20"/>
        </w:rPr>
      </w:pPr>
    </w:p>
    <w:p w14:paraId="516CB312" w14:textId="77777777" w:rsidR="008E7224" w:rsidRPr="00BC3B0C" w:rsidRDefault="008E7224" w:rsidP="008E7224">
      <w:pPr>
        <w:jc w:val="both"/>
        <w:rPr>
          <w:rFonts w:ascii="Arial" w:hAnsi="Arial" w:cs="Arial"/>
          <w:sz w:val="20"/>
          <w:szCs w:val="20"/>
        </w:rPr>
      </w:pPr>
      <w:r w:rsidRPr="00BC3B0C">
        <w:rPr>
          <w:rFonts w:ascii="Arial" w:hAnsi="Arial" w:cs="Arial"/>
          <w:sz w:val="20"/>
          <w:szCs w:val="20"/>
        </w:rPr>
        <w:t>tímto uzavírají níže uvedeného dne, měsíce a roku podle § 1746 odst. 2 zákona č. 89/2012 Sb., občanský zákoník, ve znění pozdějších předpisů (dále jen „</w:t>
      </w:r>
      <w:r w:rsidRPr="002377E0">
        <w:rPr>
          <w:rFonts w:ascii="Arial" w:hAnsi="Arial" w:cs="Arial"/>
          <w:b/>
          <w:sz w:val="20"/>
          <w:szCs w:val="20"/>
        </w:rPr>
        <w:t>občanský zákoník</w:t>
      </w:r>
      <w:r w:rsidRPr="00BC3B0C">
        <w:rPr>
          <w:rFonts w:ascii="Arial" w:hAnsi="Arial" w:cs="Arial"/>
          <w:sz w:val="20"/>
          <w:szCs w:val="20"/>
        </w:rPr>
        <w:t>“), a zákona č. 266/1994 Sb., o dráhách, ve znění pozdějších předpisů (dále jen „</w:t>
      </w:r>
      <w:r w:rsidRPr="002377E0">
        <w:rPr>
          <w:rFonts w:ascii="Arial" w:hAnsi="Arial" w:cs="Arial"/>
          <w:b/>
          <w:sz w:val="20"/>
          <w:szCs w:val="20"/>
        </w:rPr>
        <w:t>zákon o dráhách</w:t>
      </w:r>
      <w:r w:rsidRPr="00BC3B0C">
        <w:rPr>
          <w:rFonts w:ascii="Arial" w:hAnsi="Arial" w:cs="Arial"/>
          <w:sz w:val="20"/>
          <w:szCs w:val="20"/>
        </w:rPr>
        <w:t>“), tuto smlouvu</w:t>
      </w:r>
      <w:r w:rsidR="00E37CC6" w:rsidRPr="00BC3B0C">
        <w:rPr>
          <w:rFonts w:ascii="Arial" w:hAnsi="Arial" w:cs="Arial"/>
          <w:sz w:val="20"/>
          <w:szCs w:val="20"/>
        </w:rPr>
        <w:t xml:space="preserve"> o dodávkách</w:t>
      </w:r>
      <w:r w:rsidRPr="00BC3B0C">
        <w:rPr>
          <w:rFonts w:ascii="Arial" w:hAnsi="Arial" w:cs="Arial"/>
          <w:sz w:val="20"/>
          <w:szCs w:val="20"/>
        </w:rPr>
        <w:t>:</w:t>
      </w:r>
    </w:p>
    <w:p w14:paraId="521E9B3F" w14:textId="77777777" w:rsidR="00501765" w:rsidRPr="002377E0" w:rsidRDefault="00F70E34" w:rsidP="009543B9">
      <w:pPr>
        <w:keepNext/>
        <w:spacing w:before="480" w:after="240"/>
        <w:jc w:val="center"/>
        <w:rPr>
          <w:rFonts w:ascii="Arial" w:hAnsi="Arial" w:cs="Arial"/>
          <w:b/>
          <w:spacing w:val="60"/>
          <w:sz w:val="20"/>
          <w:szCs w:val="20"/>
        </w:rPr>
      </w:pPr>
      <w:r w:rsidRPr="002377E0">
        <w:rPr>
          <w:rFonts w:ascii="Arial" w:hAnsi="Arial" w:cs="Arial"/>
          <w:b/>
          <w:spacing w:val="60"/>
          <w:sz w:val="20"/>
          <w:szCs w:val="20"/>
        </w:rPr>
        <w:t>Preambul</w:t>
      </w:r>
      <w:r w:rsidR="00501765" w:rsidRPr="002377E0">
        <w:rPr>
          <w:rFonts w:ascii="Arial" w:hAnsi="Arial" w:cs="Arial"/>
          <w:b/>
          <w:spacing w:val="60"/>
          <w:sz w:val="20"/>
          <w:szCs w:val="20"/>
        </w:rPr>
        <w:t>e</w:t>
      </w:r>
    </w:p>
    <w:p w14:paraId="7B369454" w14:textId="48E34619" w:rsidR="00047750" w:rsidRPr="00BC3B0C" w:rsidRDefault="00D03EFD" w:rsidP="00103A3D">
      <w:pPr>
        <w:spacing w:after="120"/>
        <w:jc w:val="both"/>
        <w:rPr>
          <w:rFonts w:ascii="Arial" w:hAnsi="Arial" w:cs="Arial"/>
          <w:sz w:val="20"/>
          <w:szCs w:val="20"/>
        </w:rPr>
      </w:pPr>
      <w:r w:rsidRPr="00BC3B0C">
        <w:rPr>
          <w:rFonts w:ascii="Arial" w:hAnsi="Arial" w:cs="Arial"/>
          <w:sz w:val="20"/>
          <w:szCs w:val="20"/>
        </w:rPr>
        <w:t>Provozovatel provozuje železniční dopravní cestu ve veřejném zájmu.</w:t>
      </w:r>
      <w:r w:rsidR="00047750" w:rsidRPr="00BC3B0C">
        <w:rPr>
          <w:rFonts w:ascii="Arial" w:hAnsi="Arial" w:cs="Arial"/>
          <w:sz w:val="20"/>
          <w:szCs w:val="20"/>
        </w:rPr>
        <w:t xml:space="preserve"> </w:t>
      </w:r>
      <w:bookmarkStart w:id="0" w:name="_Hlk511721396"/>
      <w:r w:rsidR="001F34C4" w:rsidRPr="00BC3B0C">
        <w:rPr>
          <w:rFonts w:ascii="Arial" w:hAnsi="Arial" w:cs="Arial"/>
          <w:sz w:val="20"/>
          <w:szCs w:val="20"/>
        </w:rPr>
        <w:t xml:space="preserve">Provozovatel </w:t>
      </w:r>
      <w:r w:rsidR="00047750" w:rsidRPr="00BC3B0C">
        <w:rPr>
          <w:rFonts w:ascii="Arial" w:hAnsi="Arial" w:cs="Arial"/>
          <w:sz w:val="20"/>
          <w:szCs w:val="20"/>
        </w:rPr>
        <w:t xml:space="preserve">uzavírá </w:t>
      </w:r>
      <w:r w:rsidR="001F34C4" w:rsidRPr="00BC3B0C">
        <w:rPr>
          <w:rFonts w:ascii="Arial" w:hAnsi="Arial" w:cs="Arial"/>
          <w:sz w:val="20"/>
          <w:szCs w:val="20"/>
        </w:rPr>
        <w:t>s</w:t>
      </w:r>
      <w:r w:rsidR="00047750" w:rsidRPr="00BC3B0C">
        <w:rPr>
          <w:rFonts w:ascii="Arial" w:hAnsi="Arial" w:cs="Arial"/>
          <w:sz w:val="20"/>
          <w:szCs w:val="20"/>
        </w:rPr>
        <w:t> </w:t>
      </w:r>
      <w:r w:rsidR="001F34C4" w:rsidRPr="00BC3B0C">
        <w:rPr>
          <w:rFonts w:ascii="Arial" w:hAnsi="Arial" w:cs="Arial"/>
          <w:sz w:val="20"/>
          <w:szCs w:val="20"/>
        </w:rPr>
        <w:t xml:space="preserve">dopravci smlouvy o provozování drážní dopravy, které </w:t>
      </w:r>
      <w:r w:rsidR="00FC4E95" w:rsidRPr="00BC3B0C">
        <w:rPr>
          <w:rFonts w:ascii="Arial" w:hAnsi="Arial" w:cs="Arial"/>
          <w:sz w:val="20"/>
          <w:szCs w:val="20"/>
        </w:rPr>
        <w:t xml:space="preserve">obsahují </w:t>
      </w:r>
      <w:r w:rsidR="00E11E3B" w:rsidRPr="00BC3B0C">
        <w:rPr>
          <w:rFonts w:ascii="Arial" w:hAnsi="Arial" w:cs="Arial"/>
          <w:sz w:val="20"/>
          <w:szCs w:val="20"/>
        </w:rPr>
        <w:t xml:space="preserve">zejména </w:t>
      </w:r>
      <w:r w:rsidR="001F34C4" w:rsidRPr="00BC3B0C">
        <w:rPr>
          <w:rFonts w:ascii="Arial" w:hAnsi="Arial" w:cs="Arial"/>
          <w:sz w:val="20"/>
          <w:szCs w:val="20"/>
        </w:rPr>
        <w:t>ujednání související s přidělováním kapacity dráhy a</w:t>
      </w:r>
      <w:r w:rsidR="006F3BC3" w:rsidRPr="00BC3B0C">
        <w:rPr>
          <w:rFonts w:ascii="Arial" w:hAnsi="Arial" w:cs="Arial"/>
          <w:sz w:val="20"/>
          <w:szCs w:val="20"/>
        </w:rPr>
        <w:t> </w:t>
      </w:r>
      <w:r w:rsidR="001F34C4" w:rsidRPr="00BC3B0C">
        <w:rPr>
          <w:rFonts w:ascii="Arial" w:hAnsi="Arial" w:cs="Arial"/>
          <w:sz w:val="20"/>
          <w:szCs w:val="20"/>
        </w:rPr>
        <w:t>provozováním drážní dopravy.</w:t>
      </w:r>
      <w:bookmarkEnd w:id="0"/>
    </w:p>
    <w:p w14:paraId="0D8CE5CC" w14:textId="5907890A" w:rsidR="00B65F3E" w:rsidRDefault="008E7224" w:rsidP="00125BE6">
      <w:pPr>
        <w:spacing w:after="120"/>
        <w:jc w:val="both"/>
        <w:rPr>
          <w:rFonts w:ascii="Arial" w:hAnsi="Arial" w:cs="Arial"/>
          <w:sz w:val="20"/>
          <w:szCs w:val="20"/>
        </w:rPr>
      </w:pPr>
      <w:bookmarkStart w:id="1" w:name="_Hlk511721633"/>
      <w:r w:rsidRPr="00BC3B0C">
        <w:rPr>
          <w:rFonts w:ascii="Arial" w:hAnsi="Arial" w:cs="Arial"/>
          <w:sz w:val="20"/>
          <w:szCs w:val="20"/>
        </w:rPr>
        <w:t xml:space="preserve">Smluvní strany spolu dne </w:t>
      </w:r>
      <w:r w:rsidR="004C25AD">
        <w:rPr>
          <w:rFonts w:ascii="Arial" w:hAnsi="Arial" w:cs="Arial"/>
          <w:sz w:val="20"/>
          <w:szCs w:val="20"/>
        </w:rPr>
        <w:t>[</w:t>
      </w:r>
      <w:r w:rsidR="004C25AD" w:rsidRPr="004C25AD">
        <w:rPr>
          <w:rFonts w:ascii="Arial" w:hAnsi="Arial" w:cs="Arial"/>
          <w:sz w:val="20"/>
          <w:szCs w:val="20"/>
          <w:highlight w:val="yellow"/>
        </w:rPr>
        <w:t>bude doplněno</w:t>
      </w:r>
      <w:r w:rsidR="004C25AD">
        <w:rPr>
          <w:rFonts w:ascii="Arial" w:hAnsi="Arial" w:cs="Arial"/>
          <w:sz w:val="20"/>
          <w:szCs w:val="20"/>
        </w:rPr>
        <w:t>]</w:t>
      </w:r>
      <w:r w:rsidRPr="00BC3B0C">
        <w:rPr>
          <w:rFonts w:ascii="Arial" w:hAnsi="Arial" w:cs="Arial"/>
          <w:sz w:val="20"/>
          <w:szCs w:val="20"/>
        </w:rPr>
        <w:t xml:space="preserve"> uzavřely </w:t>
      </w:r>
      <w:r w:rsidRPr="00927C8A">
        <w:rPr>
          <w:rFonts w:ascii="Arial" w:hAnsi="Arial"/>
          <w:i/>
          <w:sz w:val="20"/>
        </w:rPr>
        <w:t xml:space="preserve">Smlouvu o provozování drážní dopravy na celostátní dráze a regionálních dráhách ve vlastnictví České republiky, číslo smlouvy: </w:t>
      </w:r>
      <w:r w:rsidR="004C25AD" w:rsidRPr="004C25AD">
        <w:rPr>
          <w:rFonts w:ascii="Arial" w:hAnsi="Arial" w:cs="Arial"/>
          <w:i/>
          <w:sz w:val="20"/>
          <w:szCs w:val="20"/>
        </w:rPr>
        <w:t>[</w:t>
      </w:r>
      <w:r w:rsidR="004C25AD" w:rsidRPr="004C25AD">
        <w:rPr>
          <w:rFonts w:ascii="Arial" w:hAnsi="Arial" w:cs="Arial"/>
          <w:i/>
          <w:sz w:val="20"/>
          <w:szCs w:val="20"/>
          <w:highlight w:val="yellow"/>
        </w:rPr>
        <w:t>bude doplněno</w:t>
      </w:r>
      <w:r w:rsidR="004C25AD" w:rsidRPr="004C25AD">
        <w:rPr>
          <w:rFonts w:ascii="Arial" w:hAnsi="Arial" w:cs="Arial"/>
          <w:i/>
          <w:sz w:val="20"/>
          <w:szCs w:val="20"/>
        </w:rPr>
        <w:t>]</w:t>
      </w:r>
      <w:r w:rsidR="001466B9">
        <w:rPr>
          <w:rFonts w:ascii="Arial" w:hAnsi="Arial" w:cs="Arial"/>
          <w:sz w:val="20"/>
          <w:szCs w:val="20"/>
        </w:rPr>
        <w:t xml:space="preserve">, ve znění všech pozdějších </w:t>
      </w:r>
      <w:r w:rsidR="009B5447">
        <w:rPr>
          <w:rFonts w:ascii="Arial" w:hAnsi="Arial" w:cs="Arial"/>
          <w:sz w:val="20"/>
          <w:szCs w:val="20"/>
        </w:rPr>
        <w:t>smluvních závazků, kterými smluv</w:t>
      </w:r>
      <w:r w:rsidR="00392F45">
        <w:rPr>
          <w:rFonts w:ascii="Arial" w:hAnsi="Arial" w:cs="Arial"/>
          <w:sz w:val="20"/>
          <w:szCs w:val="20"/>
        </w:rPr>
        <w:t>n</w:t>
      </w:r>
      <w:r w:rsidR="009B5447">
        <w:rPr>
          <w:rFonts w:ascii="Arial" w:hAnsi="Arial" w:cs="Arial"/>
          <w:sz w:val="20"/>
          <w:szCs w:val="20"/>
        </w:rPr>
        <w:t>í strany tuto smlouvu</w:t>
      </w:r>
      <w:r w:rsidR="00B426E2">
        <w:rPr>
          <w:rFonts w:ascii="Arial" w:hAnsi="Arial" w:cs="Arial"/>
          <w:sz w:val="20"/>
          <w:szCs w:val="20"/>
        </w:rPr>
        <w:t xml:space="preserve"> o provozování</w:t>
      </w:r>
      <w:r w:rsidR="009B5447">
        <w:rPr>
          <w:rFonts w:ascii="Arial" w:hAnsi="Arial" w:cs="Arial"/>
          <w:sz w:val="20"/>
          <w:szCs w:val="20"/>
        </w:rPr>
        <w:t xml:space="preserve"> změnily</w:t>
      </w:r>
      <w:r w:rsidR="00BF6DB1">
        <w:rPr>
          <w:rFonts w:ascii="Arial" w:hAnsi="Arial" w:cs="Arial"/>
          <w:sz w:val="20"/>
          <w:szCs w:val="20"/>
        </w:rPr>
        <w:t xml:space="preserve"> či</w:t>
      </w:r>
      <w:r w:rsidR="009B5447">
        <w:rPr>
          <w:rFonts w:ascii="Arial" w:hAnsi="Arial" w:cs="Arial"/>
          <w:sz w:val="20"/>
          <w:szCs w:val="20"/>
        </w:rPr>
        <w:t xml:space="preserve"> nahradily</w:t>
      </w:r>
      <w:r w:rsidR="00BF6DB1">
        <w:rPr>
          <w:rFonts w:ascii="Arial" w:hAnsi="Arial" w:cs="Arial"/>
          <w:sz w:val="20"/>
          <w:szCs w:val="20"/>
        </w:rPr>
        <w:t>,</w:t>
      </w:r>
      <w:r w:rsidR="009B5447">
        <w:rPr>
          <w:rFonts w:ascii="Arial" w:hAnsi="Arial" w:cs="Arial"/>
          <w:sz w:val="20"/>
          <w:szCs w:val="20"/>
        </w:rPr>
        <w:t xml:space="preserve"> anebo tak teprve </w:t>
      </w:r>
      <w:r w:rsidR="00744A4F">
        <w:rPr>
          <w:rFonts w:ascii="Arial" w:hAnsi="Arial" w:cs="Arial"/>
          <w:sz w:val="20"/>
          <w:szCs w:val="20"/>
        </w:rPr>
        <w:t xml:space="preserve">v budoucnu </w:t>
      </w:r>
      <w:r w:rsidR="009B5447">
        <w:rPr>
          <w:rFonts w:ascii="Arial" w:hAnsi="Arial" w:cs="Arial"/>
          <w:sz w:val="20"/>
          <w:szCs w:val="20"/>
        </w:rPr>
        <w:t>učiní</w:t>
      </w:r>
      <w:r w:rsidRPr="00BC3B0C">
        <w:rPr>
          <w:rFonts w:ascii="Arial" w:hAnsi="Arial" w:cs="Arial"/>
          <w:sz w:val="20"/>
          <w:szCs w:val="20"/>
        </w:rPr>
        <w:t xml:space="preserve"> (dále jen „</w:t>
      </w:r>
      <w:r w:rsidR="00176F7A">
        <w:rPr>
          <w:rFonts w:ascii="Arial" w:hAnsi="Arial" w:cs="Arial"/>
          <w:b/>
          <w:sz w:val="20"/>
          <w:szCs w:val="20"/>
        </w:rPr>
        <w:t>S</w:t>
      </w:r>
      <w:r w:rsidRPr="002377E0">
        <w:rPr>
          <w:rFonts w:ascii="Arial" w:hAnsi="Arial" w:cs="Arial"/>
          <w:b/>
          <w:sz w:val="20"/>
          <w:szCs w:val="20"/>
        </w:rPr>
        <w:t>mlouva o</w:t>
      </w:r>
      <w:r w:rsidR="00D06278">
        <w:rPr>
          <w:rFonts w:ascii="Arial" w:hAnsi="Arial" w:cs="Arial"/>
          <w:b/>
          <w:sz w:val="20"/>
          <w:szCs w:val="20"/>
        </w:rPr>
        <w:t> </w:t>
      </w:r>
      <w:r w:rsidRPr="002377E0">
        <w:rPr>
          <w:rFonts w:ascii="Arial" w:hAnsi="Arial" w:cs="Arial"/>
          <w:b/>
          <w:sz w:val="20"/>
          <w:szCs w:val="20"/>
        </w:rPr>
        <w:t>provozování</w:t>
      </w:r>
      <w:r w:rsidRPr="00BC3B0C">
        <w:rPr>
          <w:rFonts w:ascii="Arial" w:hAnsi="Arial" w:cs="Arial"/>
          <w:sz w:val="20"/>
          <w:szCs w:val="20"/>
        </w:rPr>
        <w:t>“).</w:t>
      </w:r>
      <w:r w:rsidR="00125BE6" w:rsidRPr="00BC3B0C">
        <w:rPr>
          <w:rFonts w:ascii="Arial" w:hAnsi="Arial" w:cs="Arial"/>
          <w:sz w:val="20"/>
          <w:szCs w:val="20"/>
        </w:rPr>
        <w:t xml:space="preserve"> </w:t>
      </w:r>
    </w:p>
    <w:p w14:paraId="3329C9F0" w14:textId="47ACF34D" w:rsidR="00BD1702" w:rsidRPr="00BC3B0C" w:rsidRDefault="00125BE6" w:rsidP="00125BE6">
      <w:pPr>
        <w:spacing w:after="120"/>
        <w:jc w:val="both"/>
        <w:rPr>
          <w:rFonts w:ascii="Arial" w:hAnsi="Arial" w:cs="Arial"/>
          <w:sz w:val="20"/>
          <w:szCs w:val="20"/>
        </w:rPr>
      </w:pPr>
      <w:r w:rsidRPr="00BC3B0C">
        <w:rPr>
          <w:rFonts w:ascii="Arial" w:hAnsi="Arial" w:cs="Arial"/>
          <w:sz w:val="20"/>
          <w:szCs w:val="20"/>
        </w:rPr>
        <w:t xml:space="preserve">Předmětem </w:t>
      </w:r>
      <w:r w:rsidR="00176F7A">
        <w:rPr>
          <w:rFonts w:ascii="Arial" w:hAnsi="Arial" w:cs="Arial"/>
          <w:sz w:val="20"/>
          <w:szCs w:val="20"/>
        </w:rPr>
        <w:t>S</w:t>
      </w:r>
      <w:r w:rsidRPr="00BC3B0C">
        <w:rPr>
          <w:rFonts w:ascii="Arial" w:hAnsi="Arial" w:cs="Arial"/>
          <w:sz w:val="20"/>
          <w:szCs w:val="20"/>
        </w:rPr>
        <w:t xml:space="preserve">mlouvy </w:t>
      </w:r>
      <w:r w:rsidR="00026102" w:rsidRPr="00BC3B0C">
        <w:rPr>
          <w:rFonts w:ascii="Arial" w:hAnsi="Arial" w:cs="Arial"/>
          <w:sz w:val="20"/>
          <w:szCs w:val="20"/>
        </w:rPr>
        <w:t xml:space="preserve">o provozování </w:t>
      </w:r>
      <w:r w:rsidR="00121CCE" w:rsidRPr="00BC3B0C">
        <w:rPr>
          <w:rFonts w:ascii="Arial" w:hAnsi="Arial" w:cs="Arial"/>
          <w:sz w:val="20"/>
          <w:szCs w:val="20"/>
        </w:rPr>
        <w:t>je</w:t>
      </w:r>
      <w:r w:rsidR="00103A3D" w:rsidRPr="00BC3B0C">
        <w:rPr>
          <w:rFonts w:ascii="Arial" w:hAnsi="Arial" w:cs="Arial"/>
          <w:sz w:val="20"/>
          <w:szCs w:val="20"/>
        </w:rPr>
        <w:t xml:space="preserve"> </w:t>
      </w:r>
      <w:r w:rsidR="00E11E3B" w:rsidRPr="00BC3B0C">
        <w:rPr>
          <w:rFonts w:ascii="Arial" w:hAnsi="Arial" w:cs="Arial"/>
          <w:sz w:val="20"/>
          <w:szCs w:val="20"/>
        </w:rPr>
        <w:t>především</w:t>
      </w:r>
      <w:r w:rsidR="00121CCE" w:rsidRPr="00BC3B0C">
        <w:rPr>
          <w:rFonts w:ascii="Arial" w:hAnsi="Arial" w:cs="Arial"/>
          <w:sz w:val="20"/>
          <w:szCs w:val="20"/>
        </w:rPr>
        <w:t xml:space="preserve"> </w:t>
      </w:r>
      <w:r w:rsidRPr="00BC3B0C">
        <w:rPr>
          <w:rFonts w:ascii="Arial" w:hAnsi="Arial" w:cs="Arial"/>
          <w:sz w:val="20"/>
          <w:szCs w:val="20"/>
        </w:rPr>
        <w:t xml:space="preserve">úprava přidělování kapacity dráhy </w:t>
      </w:r>
      <w:r w:rsidR="00121CCE" w:rsidRPr="00BC3B0C">
        <w:rPr>
          <w:rFonts w:ascii="Arial" w:hAnsi="Arial" w:cs="Arial"/>
          <w:sz w:val="20"/>
          <w:szCs w:val="20"/>
        </w:rPr>
        <w:t xml:space="preserve">dopravci </w:t>
      </w:r>
      <w:r w:rsidRPr="00BC3B0C">
        <w:rPr>
          <w:rFonts w:ascii="Arial" w:hAnsi="Arial" w:cs="Arial"/>
          <w:sz w:val="20"/>
          <w:szCs w:val="20"/>
        </w:rPr>
        <w:t>a</w:t>
      </w:r>
      <w:r w:rsidR="00103A3D" w:rsidRPr="00BC3B0C">
        <w:rPr>
          <w:rFonts w:ascii="Arial" w:hAnsi="Arial" w:cs="Arial"/>
          <w:sz w:val="20"/>
          <w:szCs w:val="20"/>
        </w:rPr>
        <w:t> </w:t>
      </w:r>
      <w:r w:rsidRPr="00BC3B0C">
        <w:rPr>
          <w:rFonts w:ascii="Arial" w:hAnsi="Arial" w:cs="Arial"/>
          <w:sz w:val="20"/>
          <w:szCs w:val="20"/>
        </w:rPr>
        <w:t xml:space="preserve">provozování drážní dopravy </w:t>
      </w:r>
      <w:r w:rsidR="00121CCE" w:rsidRPr="00BC3B0C">
        <w:rPr>
          <w:rFonts w:ascii="Arial" w:hAnsi="Arial" w:cs="Arial"/>
          <w:sz w:val="20"/>
          <w:szCs w:val="20"/>
        </w:rPr>
        <w:t xml:space="preserve">dopravcem </w:t>
      </w:r>
      <w:r w:rsidRPr="00BC3B0C">
        <w:rPr>
          <w:rFonts w:ascii="Arial" w:hAnsi="Arial" w:cs="Arial"/>
          <w:sz w:val="20"/>
          <w:szCs w:val="20"/>
        </w:rPr>
        <w:t xml:space="preserve">na celostátní dráze a regionálních dráhách ve vlastnictví České republiky </w:t>
      </w:r>
      <w:r w:rsidR="00B65F3E" w:rsidRPr="00BC3B0C">
        <w:rPr>
          <w:rFonts w:ascii="Arial" w:hAnsi="Arial" w:cs="Arial"/>
          <w:sz w:val="20"/>
          <w:szCs w:val="20"/>
        </w:rPr>
        <w:t>a</w:t>
      </w:r>
      <w:r w:rsidR="00B65F3E">
        <w:rPr>
          <w:rFonts w:ascii="Arial" w:hAnsi="Arial" w:cs="Arial"/>
          <w:sz w:val="20"/>
          <w:szCs w:val="20"/>
        </w:rPr>
        <w:t> </w:t>
      </w:r>
      <w:r w:rsidR="00121CCE" w:rsidRPr="00BC3B0C">
        <w:rPr>
          <w:rFonts w:ascii="Arial" w:hAnsi="Arial" w:cs="Arial"/>
          <w:sz w:val="20"/>
          <w:szCs w:val="20"/>
        </w:rPr>
        <w:t>provozovaných provozovatelem</w:t>
      </w:r>
      <w:r w:rsidR="001B5269" w:rsidRPr="00BC3B0C">
        <w:rPr>
          <w:rFonts w:ascii="Arial" w:hAnsi="Arial" w:cs="Arial"/>
          <w:sz w:val="20"/>
          <w:szCs w:val="20"/>
        </w:rPr>
        <w:t>, a</w:t>
      </w:r>
      <w:r w:rsidR="00103A3D" w:rsidRPr="00BC3B0C">
        <w:rPr>
          <w:rFonts w:ascii="Arial" w:hAnsi="Arial" w:cs="Arial"/>
          <w:sz w:val="20"/>
          <w:szCs w:val="20"/>
        </w:rPr>
        <w:t xml:space="preserve"> </w:t>
      </w:r>
      <w:r w:rsidR="00E11E3B" w:rsidRPr="00BC3B0C">
        <w:rPr>
          <w:rFonts w:ascii="Arial" w:hAnsi="Arial" w:cs="Arial"/>
          <w:sz w:val="20"/>
          <w:szCs w:val="20"/>
        </w:rPr>
        <w:t xml:space="preserve">dále </w:t>
      </w:r>
      <w:r w:rsidR="00103A3D" w:rsidRPr="00BC3B0C">
        <w:rPr>
          <w:rFonts w:ascii="Arial" w:hAnsi="Arial" w:cs="Arial"/>
          <w:sz w:val="20"/>
          <w:szCs w:val="20"/>
        </w:rPr>
        <w:t xml:space="preserve">poskytnutí </w:t>
      </w:r>
      <w:r w:rsidR="006B7E66" w:rsidRPr="00BC3B0C">
        <w:rPr>
          <w:rFonts w:ascii="Arial" w:hAnsi="Arial" w:cs="Arial"/>
          <w:sz w:val="20"/>
          <w:szCs w:val="20"/>
        </w:rPr>
        <w:t xml:space="preserve">souvisejících </w:t>
      </w:r>
      <w:r w:rsidR="00103A3D" w:rsidRPr="00BC3B0C">
        <w:rPr>
          <w:rFonts w:ascii="Arial" w:hAnsi="Arial" w:cs="Arial"/>
          <w:sz w:val="20"/>
          <w:szCs w:val="20"/>
        </w:rPr>
        <w:t>služeb ve sjednaném rozsahu.</w:t>
      </w:r>
    </w:p>
    <w:p w14:paraId="556A2C4A" w14:textId="11213AA6" w:rsidR="00B65F3E" w:rsidRPr="00BC3B0C" w:rsidRDefault="00B65F3E" w:rsidP="00B65F3E">
      <w:pPr>
        <w:spacing w:after="120"/>
        <w:jc w:val="both"/>
        <w:rPr>
          <w:rFonts w:ascii="Arial" w:hAnsi="Arial" w:cs="Arial"/>
          <w:sz w:val="20"/>
          <w:szCs w:val="20"/>
        </w:rPr>
      </w:pPr>
      <w:bookmarkStart w:id="2" w:name="_Hlk511721725"/>
      <w:bookmarkEnd w:id="1"/>
      <w:r w:rsidRPr="00BC3B0C">
        <w:rPr>
          <w:rFonts w:ascii="Arial" w:hAnsi="Arial" w:cs="Arial"/>
          <w:sz w:val="20"/>
          <w:szCs w:val="20"/>
        </w:rPr>
        <w:t>Provozovatel má na základě zákona o dráhách poskytovat dopravcům prostřednictvím zařízení služeb tzv.</w:t>
      </w:r>
      <w:r w:rsidR="00D42511">
        <w:rPr>
          <w:rFonts w:ascii="Arial" w:hAnsi="Arial" w:cs="Arial"/>
          <w:sz w:val="20"/>
          <w:szCs w:val="20"/>
        </w:rPr>
        <w:t> </w:t>
      </w:r>
      <w:r w:rsidRPr="00BC3B0C">
        <w:rPr>
          <w:rFonts w:ascii="Arial" w:hAnsi="Arial" w:cs="Arial"/>
          <w:sz w:val="20"/>
          <w:szCs w:val="20"/>
        </w:rPr>
        <w:t xml:space="preserve">základní služby, které bezprostředně souvisejí s provozováním drážní dopravy, a dále pak služby doplňkové a služby pomocné. </w:t>
      </w:r>
      <w:r w:rsidR="00F10D92">
        <w:rPr>
          <w:rFonts w:ascii="Arial" w:hAnsi="Arial" w:cs="Arial"/>
          <w:sz w:val="20"/>
          <w:szCs w:val="20"/>
        </w:rPr>
        <w:t xml:space="preserve">Mezi </w:t>
      </w:r>
      <w:r>
        <w:rPr>
          <w:rFonts w:ascii="Arial" w:hAnsi="Arial" w:cs="Arial"/>
          <w:sz w:val="20"/>
          <w:szCs w:val="20"/>
        </w:rPr>
        <w:t>doplňkov</w:t>
      </w:r>
      <w:r w:rsidR="00F10D92">
        <w:rPr>
          <w:rFonts w:ascii="Arial" w:hAnsi="Arial" w:cs="Arial"/>
          <w:sz w:val="20"/>
          <w:szCs w:val="20"/>
        </w:rPr>
        <w:t>é</w:t>
      </w:r>
      <w:r>
        <w:rPr>
          <w:rFonts w:ascii="Arial" w:hAnsi="Arial" w:cs="Arial"/>
          <w:sz w:val="20"/>
          <w:szCs w:val="20"/>
        </w:rPr>
        <w:t xml:space="preserve"> služb</w:t>
      </w:r>
      <w:r w:rsidR="00F10D92">
        <w:rPr>
          <w:rFonts w:ascii="Arial" w:hAnsi="Arial" w:cs="Arial"/>
          <w:sz w:val="20"/>
          <w:szCs w:val="20"/>
        </w:rPr>
        <w:t>y</w:t>
      </w:r>
      <w:r>
        <w:rPr>
          <w:rFonts w:ascii="Arial" w:hAnsi="Arial" w:cs="Arial"/>
          <w:sz w:val="20"/>
          <w:szCs w:val="20"/>
        </w:rPr>
        <w:t xml:space="preserve"> ve smyslu zákona o dráhách</w:t>
      </w:r>
      <w:r w:rsidR="00F10D92">
        <w:rPr>
          <w:rFonts w:ascii="Arial" w:hAnsi="Arial" w:cs="Arial"/>
          <w:sz w:val="20"/>
          <w:szCs w:val="20"/>
        </w:rPr>
        <w:t xml:space="preserve"> patří také dodávky trakční elektrické energie</w:t>
      </w:r>
      <w:r>
        <w:rPr>
          <w:rFonts w:ascii="Arial" w:hAnsi="Arial" w:cs="Arial"/>
          <w:sz w:val="20"/>
          <w:szCs w:val="20"/>
        </w:rPr>
        <w:t>.</w:t>
      </w:r>
    </w:p>
    <w:p w14:paraId="26AA0CAA" w14:textId="7506E202" w:rsidR="00B65F3E" w:rsidRDefault="00176F7A" w:rsidP="0075376A">
      <w:pPr>
        <w:spacing w:after="120"/>
        <w:jc w:val="both"/>
        <w:rPr>
          <w:rFonts w:ascii="Arial" w:hAnsi="Arial" w:cs="Arial"/>
          <w:sz w:val="20"/>
          <w:szCs w:val="20"/>
        </w:rPr>
      </w:pPr>
      <w:r w:rsidRPr="00BC3B0C">
        <w:rPr>
          <w:rFonts w:ascii="Arial" w:hAnsi="Arial" w:cs="Arial"/>
          <w:sz w:val="20"/>
          <w:szCs w:val="20"/>
        </w:rPr>
        <w:lastRenderedPageBreak/>
        <w:t>Provozovatel dále na základě smluv o provozování drážní dopravy zajišťuje dopravcům přístup ke službám souvisejícím s použitím dráhy a provozem drážního vozidla, a to v rozsahu stanoveném obecnými právními předpisy.</w:t>
      </w:r>
      <w:r>
        <w:rPr>
          <w:rFonts w:ascii="Arial" w:hAnsi="Arial" w:cs="Arial"/>
          <w:sz w:val="20"/>
          <w:szCs w:val="20"/>
        </w:rPr>
        <w:t xml:space="preserve"> </w:t>
      </w:r>
      <w:r w:rsidR="006F3BC3" w:rsidRPr="00BC3B0C">
        <w:rPr>
          <w:rFonts w:ascii="Arial" w:hAnsi="Arial" w:cs="Arial"/>
          <w:sz w:val="20"/>
          <w:szCs w:val="20"/>
        </w:rPr>
        <w:t>Z</w:t>
      </w:r>
      <w:r>
        <w:rPr>
          <w:rFonts w:ascii="Arial" w:hAnsi="Arial" w:cs="Arial"/>
          <w:sz w:val="20"/>
          <w:szCs w:val="20"/>
        </w:rPr>
        <w:t xml:space="preserve"> těchto </w:t>
      </w:r>
      <w:r w:rsidR="006F3BC3" w:rsidRPr="00BC3B0C">
        <w:rPr>
          <w:rFonts w:ascii="Arial" w:hAnsi="Arial" w:cs="Arial"/>
          <w:sz w:val="20"/>
          <w:szCs w:val="20"/>
        </w:rPr>
        <w:t>předpis</w:t>
      </w:r>
      <w:r>
        <w:rPr>
          <w:rFonts w:ascii="Arial" w:hAnsi="Arial" w:cs="Arial"/>
          <w:sz w:val="20"/>
          <w:szCs w:val="20"/>
        </w:rPr>
        <w:t>ů</w:t>
      </w:r>
      <w:r w:rsidR="006F3BC3" w:rsidRPr="00BC3B0C">
        <w:rPr>
          <w:rFonts w:ascii="Arial" w:hAnsi="Arial" w:cs="Arial"/>
          <w:sz w:val="20"/>
          <w:szCs w:val="20"/>
        </w:rPr>
        <w:t xml:space="preserve"> nevyplývá, že by doplňková služba dodávek trakční elektrické energie musela být </w:t>
      </w:r>
      <w:r w:rsidR="000D1D20">
        <w:rPr>
          <w:rFonts w:ascii="Arial" w:hAnsi="Arial" w:cs="Arial"/>
          <w:sz w:val="20"/>
          <w:szCs w:val="20"/>
        </w:rPr>
        <w:t>součástí</w:t>
      </w:r>
      <w:r w:rsidR="006F3BC3" w:rsidRPr="00BC3B0C">
        <w:rPr>
          <w:rFonts w:ascii="Arial" w:hAnsi="Arial" w:cs="Arial"/>
          <w:sz w:val="20"/>
          <w:szCs w:val="20"/>
        </w:rPr>
        <w:t xml:space="preserve"> </w:t>
      </w:r>
      <w:r w:rsidR="00B65F3E">
        <w:rPr>
          <w:rFonts w:ascii="Arial" w:hAnsi="Arial" w:cs="Arial"/>
          <w:sz w:val="20"/>
          <w:szCs w:val="20"/>
        </w:rPr>
        <w:t>Sm</w:t>
      </w:r>
      <w:r w:rsidR="006F3BC3" w:rsidRPr="00BC3B0C">
        <w:rPr>
          <w:rFonts w:ascii="Arial" w:hAnsi="Arial" w:cs="Arial"/>
          <w:sz w:val="20"/>
          <w:szCs w:val="20"/>
        </w:rPr>
        <w:t>louv</w:t>
      </w:r>
      <w:r w:rsidR="000D1D20">
        <w:rPr>
          <w:rFonts w:ascii="Arial" w:hAnsi="Arial" w:cs="Arial"/>
          <w:sz w:val="20"/>
          <w:szCs w:val="20"/>
        </w:rPr>
        <w:t>y</w:t>
      </w:r>
      <w:r w:rsidR="006F3BC3" w:rsidRPr="00BC3B0C">
        <w:rPr>
          <w:rFonts w:ascii="Arial" w:hAnsi="Arial" w:cs="Arial"/>
          <w:sz w:val="20"/>
          <w:szCs w:val="20"/>
        </w:rPr>
        <w:t xml:space="preserve"> o provozování. </w:t>
      </w:r>
      <w:bookmarkStart w:id="3" w:name="_Hlk511721801"/>
      <w:bookmarkEnd w:id="2"/>
    </w:p>
    <w:p w14:paraId="705CC3FE" w14:textId="0F7D313B" w:rsidR="00B65F3E" w:rsidRPr="00BC3B0C" w:rsidRDefault="006B50A9" w:rsidP="00B65F3E">
      <w:pPr>
        <w:spacing w:after="120"/>
        <w:jc w:val="both"/>
        <w:rPr>
          <w:rFonts w:ascii="Arial" w:hAnsi="Arial" w:cs="Arial"/>
          <w:sz w:val="20"/>
          <w:szCs w:val="20"/>
        </w:rPr>
      </w:pPr>
      <w:r>
        <w:rPr>
          <w:rFonts w:ascii="Arial" w:hAnsi="Arial" w:cs="Arial"/>
          <w:sz w:val="20"/>
          <w:szCs w:val="20"/>
        </w:rPr>
        <w:t>P</w:t>
      </w:r>
      <w:r w:rsidR="0075376A" w:rsidRPr="00BC3B0C">
        <w:rPr>
          <w:rFonts w:ascii="Arial" w:hAnsi="Arial" w:cs="Arial"/>
          <w:sz w:val="20"/>
          <w:szCs w:val="20"/>
        </w:rPr>
        <w:t xml:space="preserve">ředmětem této smlouvy o dodávkách </w:t>
      </w:r>
      <w:r>
        <w:rPr>
          <w:rFonts w:ascii="Arial" w:hAnsi="Arial" w:cs="Arial"/>
          <w:sz w:val="20"/>
          <w:szCs w:val="20"/>
        </w:rPr>
        <w:t>jsou</w:t>
      </w:r>
      <w:r w:rsidR="000D1D20">
        <w:rPr>
          <w:rFonts w:ascii="Arial" w:hAnsi="Arial" w:cs="Arial"/>
          <w:sz w:val="20"/>
          <w:szCs w:val="20"/>
        </w:rPr>
        <w:t xml:space="preserve"> ujednání související se závazkem</w:t>
      </w:r>
      <w:r w:rsidR="0075376A" w:rsidRPr="00BC3B0C">
        <w:rPr>
          <w:rFonts w:ascii="Arial" w:hAnsi="Arial" w:cs="Arial"/>
          <w:sz w:val="20"/>
          <w:szCs w:val="20"/>
        </w:rPr>
        <w:t xml:space="preserve"> provozovatele posky</w:t>
      </w:r>
      <w:r>
        <w:rPr>
          <w:rFonts w:ascii="Arial" w:hAnsi="Arial" w:cs="Arial"/>
          <w:sz w:val="20"/>
          <w:szCs w:val="20"/>
        </w:rPr>
        <w:t>tnout dopravci doplňkovou službu</w:t>
      </w:r>
      <w:r w:rsidR="0075376A" w:rsidRPr="00BC3B0C">
        <w:rPr>
          <w:rFonts w:ascii="Arial" w:hAnsi="Arial" w:cs="Arial"/>
          <w:sz w:val="20"/>
          <w:szCs w:val="20"/>
        </w:rPr>
        <w:t xml:space="preserve"> dodávek trakční elektrické</w:t>
      </w:r>
      <w:r w:rsidR="00170C03" w:rsidRPr="00BC3B0C">
        <w:rPr>
          <w:rFonts w:ascii="Arial" w:hAnsi="Arial" w:cs="Arial"/>
          <w:sz w:val="20"/>
          <w:szCs w:val="20"/>
        </w:rPr>
        <w:t xml:space="preserve"> </w:t>
      </w:r>
      <w:r w:rsidR="0075376A" w:rsidRPr="00BC3B0C">
        <w:rPr>
          <w:rFonts w:ascii="Arial" w:hAnsi="Arial" w:cs="Arial"/>
          <w:sz w:val="20"/>
          <w:szCs w:val="20"/>
        </w:rPr>
        <w:t>energie</w:t>
      </w:r>
      <w:r w:rsidR="00170C03" w:rsidRPr="00BC3B0C">
        <w:rPr>
          <w:rFonts w:ascii="Arial" w:hAnsi="Arial" w:cs="Arial"/>
          <w:sz w:val="20"/>
          <w:szCs w:val="20"/>
        </w:rPr>
        <w:t xml:space="preserve"> a </w:t>
      </w:r>
      <w:r w:rsidR="000D1D20">
        <w:rPr>
          <w:rFonts w:ascii="Arial" w:hAnsi="Arial" w:cs="Arial"/>
          <w:sz w:val="20"/>
          <w:szCs w:val="20"/>
        </w:rPr>
        <w:t xml:space="preserve">se závazkem </w:t>
      </w:r>
      <w:r w:rsidR="00170C03" w:rsidRPr="00BC3B0C">
        <w:rPr>
          <w:rFonts w:ascii="Arial" w:hAnsi="Arial" w:cs="Arial"/>
          <w:sz w:val="20"/>
          <w:szCs w:val="20"/>
        </w:rPr>
        <w:t>dopravce hradit provozovateli za tuto službu cen</w:t>
      </w:r>
      <w:r w:rsidR="002B5EA2" w:rsidRPr="00BC3B0C">
        <w:rPr>
          <w:rFonts w:ascii="Arial" w:hAnsi="Arial" w:cs="Arial"/>
          <w:sz w:val="20"/>
          <w:szCs w:val="20"/>
        </w:rPr>
        <w:t>u</w:t>
      </w:r>
      <w:r w:rsidR="00C74058" w:rsidRPr="00BC3B0C">
        <w:rPr>
          <w:rFonts w:ascii="Arial" w:hAnsi="Arial" w:cs="Arial"/>
          <w:sz w:val="20"/>
          <w:szCs w:val="20"/>
        </w:rPr>
        <w:t xml:space="preserve"> </w:t>
      </w:r>
      <w:r w:rsidR="000D1D20">
        <w:rPr>
          <w:rFonts w:ascii="Arial" w:hAnsi="Arial" w:cs="Arial"/>
          <w:sz w:val="20"/>
          <w:szCs w:val="20"/>
        </w:rPr>
        <w:t>způsobem</w:t>
      </w:r>
      <w:r>
        <w:rPr>
          <w:rFonts w:ascii="Arial" w:hAnsi="Arial" w:cs="Arial"/>
          <w:sz w:val="20"/>
          <w:szCs w:val="20"/>
        </w:rPr>
        <w:t xml:space="preserve"> a </w:t>
      </w:r>
      <w:r w:rsidR="00C74058" w:rsidRPr="00BC3B0C">
        <w:rPr>
          <w:rFonts w:ascii="Arial" w:hAnsi="Arial" w:cs="Arial"/>
          <w:sz w:val="20"/>
          <w:szCs w:val="20"/>
        </w:rPr>
        <w:t>za podmínek</w:t>
      </w:r>
      <w:r w:rsidR="00170C03" w:rsidRPr="00BC3B0C">
        <w:rPr>
          <w:rFonts w:ascii="Arial" w:hAnsi="Arial" w:cs="Arial"/>
          <w:sz w:val="20"/>
          <w:szCs w:val="20"/>
        </w:rPr>
        <w:t xml:space="preserve"> </w:t>
      </w:r>
      <w:r w:rsidR="000D1D20">
        <w:rPr>
          <w:rFonts w:ascii="Arial" w:hAnsi="Arial" w:cs="Arial"/>
          <w:sz w:val="20"/>
          <w:szCs w:val="20"/>
        </w:rPr>
        <w:t xml:space="preserve">dle </w:t>
      </w:r>
      <w:r w:rsidR="00170C03" w:rsidRPr="00BC3B0C">
        <w:rPr>
          <w:rFonts w:ascii="Arial" w:hAnsi="Arial" w:cs="Arial"/>
          <w:sz w:val="20"/>
          <w:szCs w:val="20"/>
        </w:rPr>
        <w:t>této smlouv</w:t>
      </w:r>
      <w:r w:rsidR="000D1D20">
        <w:rPr>
          <w:rFonts w:ascii="Arial" w:hAnsi="Arial" w:cs="Arial"/>
          <w:sz w:val="20"/>
          <w:szCs w:val="20"/>
        </w:rPr>
        <w:t>y</w:t>
      </w:r>
      <w:r w:rsidR="00170C03" w:rsidRPr="00BC3B0C">
        <w:rPr>
          <w:rFonts w:ascii="Arial" w:hAnsi="Arial" w:cs="Arial"/>
          <w:sz w:val="20"/>
          <w:szCs w:val="20"/>
        </w:rPr>
        <w:t xml:space="preserve"> o</w:t>
      </w:r>
      <w:r w:rsidR="002B5EA2" w:rsidRPr="00BC3B0C">
        <w:rPr>
          <w:rFonts w:ascii="Arial" w:hAnsi="Arial" w:cs="Arial"/>
          <w:sz w:val="20"/>
          <w:szCs w:val="20"/>
        </w:rPr>
        <w:t> </w:t>
      </w:r>
      <w:r w:rsidR="00170C03" w:rsidRPr="00BC3B0C">
        <w:rPr>
          <w:rFonts w:ascii="Arial" w:hAnsi="Arial" w:cs="Arial"/>
          <w:sz w:val="20"/>
          <w:szCs w:val="20"/>
        </w:rPr>
        <w:t>dodávkách</w:t>
      </w:r>
      <w:bookmarkEnd w:id="3"/>
      <w:r>
        <w:rPr>
          <w:rFonts w:ascii="Arial" w:hAnsi="Arial" w:cs="Arial"/>
          <w:sz w:val="20"/>
          <w:szCs w:val="20"/>
        </w:rPr>
        <w:t xml:space="preserve">. </w:t>
      </w:r>
      <w:r w:rsidR="00B65F3E" w:rsidRPr="00BC3B0C">
        <w:rPr>
          <w:rFonts w:ascii="Arial" w:hAnsi="Arial" w:cs="Arial"/>
          <w:sz w:val="20"/>
          <w:szCs w:val="20"/>
        </w:rPr>
        <w:t>Plnění podle této smlouvy o</w:t>
      </w:r>
      <w:r w:rsidR="00D42511">
        <w:rPr>
          <w:rFonts w:ascii="Arial" w:hAnsi="Arial" w:cs="Arial"/>
          <w:sz w:val="20"/>
          <w:szCs w:val="20"/>
        </w:rPr>
        <w:t> </w:t>
      </w:r>
      <w:r w:rsidR="00B65F3E" w:rsidRPr="00BC3B0C">
        <w:rPr>
          <w:rFonts w:ascii="Arial" w:hAnsi="Arial" w:cs="Arial"/>
          <w:sz w:val="20"/>
          <w:szCs w:val="20"/>
        </w:rPr>
        <w:t xml:space="preserve">dodávkách věcně </w:t>
      </w:r>
      <w:r w:rsidR="00555563">
        <w:rPr>
          <w:rFonts w:ascii="Arial" w:hAnsi="Arial" w:cs="Arial"/>
          <w:sz w:val="20"/>
          <w:szCs w:val="20"/>
        </w:rPr>
        <w:t xml:space="preserve">souvisí s </w:t>
      </w:r>
      <w:r w:rsidR="00B65F3E" w:rsidRPr="00BC3B0C">
        <w:rPr>
          <w:rFonts w:ascii="Arial" w:hAnsi="Arial" w:cs="Arial"/>
          <w:sz w:val="20"/>
          <w:szCs w:val="20"/>
        </w:rPr>
        <w:t>plnění</w:t>
      </w:r>
      <w:r w:rsidR="00555563">
        <w:rPr>
          <w:rFonts w:ascii="Arial" w:hAnsi="Arial" w:cs="Arial"/>
          <w:sz w:val="20"/>
          <w:szCs w:val="20"/>
        </w:rPr>
        <w:t>m</w:t>
      </w:r>
      <w:r w:rsidR="00B65F3E" w:rsidRPr="00BC3B0C">
        <w:rPr>
          <w:rFonts w:ascii="Arial" w:hAnsi="Arial" w:cs="Arial"/>
          <w:sz w:val="20"/>
          <w:szCs w:val="20"/>
        </w:rPr>
        <w:t xml:space="preserve"> dle </w:t>
      </w:r>
      <w:r w:rsidR="00B65F3E">
        <w:rPr>
          <w:rFonts w:ascii="Arial" w:hAnsi="Arial" w:cs="Arial"/>
          <w:sz w:val="20"/>
          <w:szCs w:val="20"/>
        </w:rPr>
        <w:t>S</w:t>
      </w:r>
      <w:r w:rsidR="00B65F3E" w:rsidRPr="00BC3B0C">
        <w:rPr>
          <w:rFonts w:ascii="Arial" w:hAnsi="Arial" w:cs="Arial"/>
          <w:sz w:val="20"/>
          <w:szCs w:val="20"/>
        </w:rPr>
        <w:t>mlouvy o provozování.</w:t>
      </w:r>
    </w:p>
    <w:p w14:paraId="5655173B" w14:textId="77777777" w:rsidR="006F3BC3" w:rsidRPr="00BC3B0C" w:rsidRDefault="006F3BC3" w:rsidP="006F3BC3">
      <w:pPr>
        <w:pStyle w:val="Zkladntext2"/>
        <w:spacing w:line="240" w:lineRule="auto"/>
        <w:jc w:val="both"/>
        <w:rPr>
          <w:rFonts w:ascii="Arial" w:hAnsi="Arial" w:cs="Arial"/>
          <w:sz w:val="20"/>
          <w:szCs w:val="20"/>
        </w:rPr>
      </w:pPr>
      <w:bookmarkStart w:id="4" w:name="_Hlk511722061"/>
      <w:bookmarkStart w:id="5" w:name="_Hlk511721943"/>
      <w:r w:rsidRPr="00BC3B0C">
        <w:rPr>
          <w:rFonts w:ascii="Arial" w:hAnsi="Arial" w:cs="Arial"/>
          <w:sz w:val="20"/>
          <w:szCs w:val="20"/>
        </w:rPr>
        <w:t xml:space="preserve">Plnění odpovídající </w:t>
      </w:r>
      <w:r w:rsidR="00C74058" w:rsidRPr="00BC3B0C">
        <w:rPr>
          <w:rFonts w:ascii="Arial" w:hAnsi="Arial" w:cs="Arial"/>
          <w:sz w:val="20"/>
          <w:szCs w:val="20"/>
        </w:rPr>
        <w:t xml:space="preserve">této smlouvě o dodávkách </w:t>
      </w:r>
      <w:r w:rsidRPr="00BC3B0C">
        <w:rPr>
          <w:rFonts w:ascii="Arial" w:hAnsi="Arial" w:cs="Arial"/>
          <w:sz w:val="20"/>
          <w:szCs w:val="20"/>
        </w:rPr>
        <w:t xml:space="preserve">poskytuje provozovatel jednotlivým dopravcům nediskriminačním způsobem. Provozovatel </w:t>
      </w:r>
      <w:r w:rsidR="008E218E" w:rsidRPr="00BC3B0C">
        <w:rPr>
          <w:rFonts w:ascii="Arial" w:hAnsi="Arial" w:cs="Arial"/>
          <w:sz w:val="20"/>
          <w:szCs w:val="20"/>
        </w:rPr>
        <w:t xml:space="preserve">poskytuje </w:t>
      </w:r>
      <w:r w:rsidRPr="00BC3B0C">
        <w:rPr>
          <w:rFonts w:ascii="Arial" w:hAnsi="Arial" w:cs="Arial"/>
          <w:sz w:val="20"/>
          <w:szCs w:val="20"/>
        </w:rPr>
        <w:t xml:space="preserve">doplňkovou službu dodávek trakční elektrické energie tak, aby její </w:t>
      </w:r>
      <w:r w:rsidR="00C552BE" w:rsidRPr="00BC3B0C">
        <w:rPr>
          <w:rFonts w:ascii="Arial" w:hAnsi="Arial" w:cs="Arial"/>
          <w:sz w:val="20"/>
          <w:szCs w:val="20"/>
        </w:rPr>
        <w:t>poskytnutí</w:t>
      </w:r>
      <w:r w:rsidRPr="00BC3B0C">
        <w:rPr>
          <w:rFonts w:ascii="Arial" w:hAnsi="Arial" w:cs="Arial"/>
          <w:sz w:val="20"/>
          <w:szCs w:val="20"/>
        </w:rPr>
        <w:t xml:space="preserve"> bylo umožněn</w:t>
      </w:r>
      <w:r w:rsidR="00C552BE" w:rsidRPr="00BC3B0C">
        <w:rPr>
          <w:rFonts w:ascii="Arial" w:hAnsi="Arial" w:cs="Arial"/>
          <w:sz w:val="20"/>
          <w:szCs w:val="20"/>
        </w:rPr>
        <w:t>o</w:t>
      </w:r>
      <w:r w:rsidRPr="00BC3B0C">
        <w:rPr>
          <w:rFonts w:ascii="Arial" w:hAnsi="Arial" w:cs="Arial"/>
          <w:sz w:val="20"/>
          <w:szCs w:val="20"/>
        </w:rPr>
        <w:t xml:space="preserve"> všem dopravcům za stejných podmínek vylučujících zvýhodnění kteréhokoliv z nich.</w:t>
      </w:r>
    </w:p>
    <w:p w14:paraId="47266D4C" w14:textId="732BFAEF" w:rsidR="00B65F3E" w:rsidRPr="00BC3B0C" w:rsidRDefault="00C552BE" w:rsidP="00B65F3E">
      <w:pPr>
        <w:pStyle w:val="Zkladntext2"/>
        <w:spacing w:line="240" w:lineRule="auto"/>
        <w:jc w:val="both"/>
        <w:rPr>
          <w:rFonts w:ascii="Arial" w:hAnsi="Arial" w:cs="Arial"/>
          <w:sz w:val="20"/>
          <w:szCs w:val="20"/>
        </w:rPr>
      </w:pPr>
      <w:bookmarkStart w:id="6" w:name="_Hlk511722181"/>
      <w:bookmarkEnd w:id="4"/>
      <w:r w:rsidRPr="00BC3B0C">
        <w:rPr>
          <w:rFonts w:ascii="Arial" w:hAnsi="Arial" w:cs="Arial"/>
          <w:sz w:val="20"/>
          <w:szCs w:val="20"/>
        </w:rPr>
        <w:t xml:space="preserve">Výše ceny za služby bezprostředně související s provozováním drážní dopravy </w:t>
      </w:r>
      <w:r w:rsidR="00B65F3E">
        <w:rPr>
          <w:rFonts w:ascii="Arial" w:hAnsi="Arial" w:cs="Arial"/>
          <w:sz w:val="20"/>
          <w:szCs w:val="20"/>
        </w:rPr>
        <w:t xml:space="preserve">stanovená v souladu s cenovými předpisy </w:t>
      </w:r>
      <w:r w:rsidRPr="00BC3B0C">
        <w:rPr>
          <w:rFonts w:ascii="Arial" w:hAnsi="Arial" w:cs="Arial"/>
          <w:sz w:val="20"/>
          <w:szCs w:val="20"/>
        </w:rPr>
        <w:t>nesmí být ve vztahu k dopravcům diskriminační.</w:t>
      </w:r>
      <w:r w:rsidR="00B65F3E" w:rsidRPr="00B65F3E">
        <w:rPr>
          <w:rFonts w:ascii="Arial" w:hAnsi="Arial" w:cs="Arial"/>
          <w:sz w:val="20"/>
          <w:szCs w:val="20"/>
        </w:rPr>
        <w:t xml:space="preserve"> </w:t>
      </w:r>
      <w:r w:rsidR="00B65F3E" w:rsidRPr="00BC3B0C">
        <w:rPr>
          <w:rFonts w:ascii="Arial" w:hAnsi="Arial" w:cs="Arial"/>
          <w:sz w:val="20"/>
          <w:szCs w:val="20"/>
        </w:rPr>
        <w:t xml:space="preserve">Dopravce tímto bere na vědomí, že provozovateli </w:t>
      </w:r>
      <w:r w:rsidR="00B65F3E">
        <w:rPr>
          <w:rFonts w:ascii="Arial" w:hAnsi="Arial" w:cs="Arial"/>
          <w:sz w:val="20"/>
          <w:szCs w:val="20"/>
        </w:rPr>
        <w:t>v souvislosti s</w:t>
      </w:r>
      <w:r w:rsidR="00B65F3E" w:rsidRPr="00BC3B0C">
        <w:rPr>
          <w:rFonts w:ascii="Arial" w:hAnsi="Arial" w:cs="Arial"/>
          <w:sz w:val="20"/>
          <w:szCs w:val="20"/>
        </w:rPr>
        <w:t xml:space="preserve"> poskytování</w:t>
      </w:r>
      <w:r w:rsidR="00B65F3E">
        <w:rPr>
          <w:rFonts w:ascii="Arial" w:hAnsi="Arial" w:cs="Arial"/>
          <w:sz w:val="20"/>
          <w:szCs w:val="20"/>
        </w:rPr>
        <w:t>m</w:t>
      </w:r>
      <w:r w:rsidR="00B65F3E" w:rsidRPr="00BC3B0C">
        <w:rPr>
          <w:rFonts w:ascii="Arial" w:hAnsi="Arial" w:cs="Arial"/>
          <w:sz w:val="20"/>
          <w:szCs w:val="20"/>
        </w:rPr>
        <w:t xml:space="preserve"> </w:t>
      </w:r>
      <w:r w:rsidR="00B65F3E">
        <w:rPr>
          <w:rFonts w:ascii="Arial" w:hAnsi="Arial" w:cs="Arial"/>
          <w:sz w:val="20"/>
          <w:szCs w:val="20"/>
        </w:rPr>
        <w:t xml:space="preserve">doplňkové </w:t>
      </w:r>
      <w:r w:rsidR="00B65F3E" w:rsidRPr="00BC3B0C">
        <w:rPr>
          <w:rFonts w:ascii="Arial" w:hAnsi="Arial" w:cs="Arial"/>
          <w:sz w:val="20"/>
          <w:szCs w:val="20"/>
        </w:rPr>
        <w:t xml:space="preserve">služby dodávek </w:t>
      </w:r>
      <w:r w:rsidR="00B65F3E">
        <w:rPr>
          <w:rFonts w:ascii="Arial" w:hAnsi="Arial" w:cs="Arial"/>
          <w:sz w:val="20"/>
          <w:szCs w:val="20"/>
        </w:rPr>
        <w:t xml:space="preserve">trakční elektrické energie </w:t>
      </w:r>
      <w:r w:rsidR="00B65F3E" w:rsidRPr="00BC3B0C">
        <w:rPr>
          <w:rFonts w:ascii="Arial" w:hAnsi="Arial" w:cs="Arial"/>
          <w:sz w:val="20"/>
          <w:szCs w:val="20"/>
        </w:rPr>
        <w:t>podle této smlouvy o dodávkách vznikají náklady.</w:t>
      </w:r>
    </w:p>
    <w:p w14:paraId="64998216" w14:textId="6498BFB5" w:rsidR="00B65F3E" w:rsidRPr="00BC3B0C" w:rsidRDefault="00885D47" w:rsidP="00B65F3E">
      <w:pPr>
        <w:spacing w:after="120"/>
        <w:jc w:val="both"/>
        <w:rPr>
          <w:rFonts w:ascii="Arial" w:hAnsi="Arial" w:cs="Arial"/>
          <w:sz w:val="20"/>
          <w:szCs w:val="20"/>
        </w:rPr>
      </w:pPr>
      <w:r>
        <w:rPr>
          <w:rFonts w:ascii="Arial" w:hAnsi="Arial" w:cs="Arial"/>
          <w:sz w:val="20"/>
          <w:szCs w:val="20"/>
        </w:rPr>
        <w:t>C</w:t>
      </w:r>
      <w:r w:rsidR="00B65F3E" w:rsidRPr="00BC3B0C">
        <w:rPr>
          <w:rFonts w:ascii="Arial" w:hAnsi="Arial" w:cs="Arial"/>
          <w:sz w:val="20"/>
          <w:szCs w:val="20"/>
        </w:rPr>
        <w:t>ena za doplňkovou službu dodávek trakční elektrické energie se skládá z ceny za komoditu trakční elektrické energie</w:t>
      </w:r>
      <w:r w:rsidR="00B65F3E">
        <w:rPr>
          <w:rFonts w:ascii="Arial" w:hAnsi="Arial" w:cs="Arial"/>
          <w:sz w:val="20"/>
          <w:szCs w:val="20"/>
        </w:rPr>
        <w:t xml:space="preserve"> představující plnění, které je pro dopravce hlavní</w:t>
      </w:r>
      <w:r w:rsidR="00B65F3E" w:rsidRPr="00BC3B0C">
        <w:rPr>
          <w:rFonts w:ascii="Arial" w:hAnsi="Arial" w:cs="Arial"/>
          <w:sz w:val="20"/>
          <w:szCs w:val="20"/>
        </w:rPr>
        <w:t xml:space="preserve">, a ceny za zajišťování dodávání trakční elektrické energie po trakčním vedení provozovatele </w:t>
      </w:r>
      <w:r w:rsidR="00B65F3E">
        <w:rPr>
          <w:rFonts w:ascii="Arial" w:hAnsi="Arial" w:cs="Arial"/>
          <w:sz w:val="20"/>
          <w:szCs w:val="20"/>
        </w:rPr>
        <w:t>na sběrač elektrického hnacího vozidla</w:t>
      </w:r>
      <w:r w:rsidR="00746B90">
        <w:rPr>
          <w:rFonts w:ascii="Arial" w:hAnsi="Arial" w:cs="Arial"/>
          <w:sz w:val="20"/>
          <w:szCs w:val="20"/>
        </w:rPr>
        <w:t xml:space="preserve"> dopravce představující plnění pro dopravce vedlejší, které je prostředkem k získání plnění hlavního.</w:t>
      </w:r>
    </w:p>
    <w:p w14:paraId="2095C9B1" w14:textId="50D64BD8" w:rsidR="00A22BCE" w:rsidRPr="00646DC7" w:rsidRDefault="00A22BCE" w:rsidP="00646DC7">
      <w:pPr>
        <w:spacing w:after="120"/>
        <w:jc w:val="both"/>
        <w:rPr>
          <w:rFonts w:ascii="Arial" w:hAnsi="Arial" w:cs="Arial"/>
          <w:sz w:val="20"/>
          <w:szCs w:val="20"/>
        </w:rPr>
      </w:pPr>
      <w:r w:rsidRPr="00646DC7">
        <w:rPr>
          <w:rFonts w:ascii="Arial" w:hAnsi="Arial" w:cs="Arial"/>
          <w:sz w:val="20"/>
          <w:szCs w:val="20"/>
        </w:rPr>
        <w:t>Dopravce bere podpisem této smlouvy o dodávkách na vědomí</w:t>
      </w:r>
      <w:r>
        <w:rPr>
          <w:rFonts w:ascii="Arial" w:hAnsi="Arial" w:cs="Arial"/>
          <w:sz w:val="20"/>
          <w:szCs w:val="20"/>
        </w:rPr>
        <w:t xml:space="preserve">, že </w:t>
      </w:r>
      <w:r w:rsidR="00756641">
        <w:rPr>
          <w:rFonts w:ascii="Arial" w:hAnsi="Arial" w:cs="Arial"/>
          <w:sz w:val="20"/>
          <w:szCs w:val="20"/>
        </w:rPr>
        <w:t>cena za doplňkovou službu dodávek</w:t>
      </w:r>
      <w:r>
        <w:rPr>
          <w:rFonts w:ascii="Arial" w:hAnsi="Arial" w:cs="Arial"/>
          <w:sz w:val="20"/>
          <w:szCs w:val="20"/>
        </w:rPr>
        <w:t xml:space="preserve"> trakční elektrické energie</w:t>
      </w:r>
      <w:r w:rsidR="00756641">
        <w:rPr>
          <w:rFonts w:ascii="Arial" w:hAnsi="Arial" w:cs="Arial"/>
          <w:sz w:val="20"/>
          <w:szCs w:val="20"/>
        </w:rPr>
        <w:t xml:space="preserve"> </w:t>
      </w:r>
      <w:r w:rsidR="00D350E7">
        <w:rPr>
          <w:rFonts w:ascii="Arial" w:hAnsi="Arial" w:cs="Arial"/>
          <w:sz w:val="20"/>
          <w:szCs w:val="20"/>
        </w:rPr>
        <w:t>sjednaná v této smlouvě o dodávkách</w:t>
      </w:r>
      <w:r w:rsidR="00756641">
        <w:rPr>
          <w:rFonts w:ascii="Arial" w:hAnsi="Arial" w:cs="Arial"/>
          <w:sz w:val="20"/>
          <w:szCs w:val="20"/>
        </w:rPr>
        <w:t xml:space="preserve"> </w:t>
      </w:r>
      <w:r w:rsidR="00D350E7">
        <w:rPr>
          <w:rFonts w:ascii="Arial" w:hAnsi="Arial" w:cs="Arial"/>
          <w:sz w:val="20"/>
          <w:szCs w:val="20"/>
        </w:rPr>
        <w:t xml:space="preserve">je </w:t>
      </w:r>
      <w:r w:rsidR="008F13F8">
        <w:rPr>
          <w:rFonts w:ascii="Arial" w:hAnsi="Arial" w:cs="Arial"/>
          <w:sz w:val="20"/>
          <w:szCs w:val="20"/>
        </w:rPr>
        <w:t xml:space="preserve">pro všechny </w:t>
      </w:r>
      <w:r w:rsidR="00D350E7">
        <w:rPr>
          <w:rFonts w:ascii="Arial" w:hAnsi="Arial" w:cs="Arial"/>
          <w:sz w:val="20"/>
          <w:szCs w:val="20"/>
        </w:rPr>
        <w:t>dopravc</w:t>
      </w:r>
      <w:r w:rsidR="008F13F8">
        <w:rPr>
          <w:rFonts w:ascii="Arial" w:hAnsi="Arial" w:cs="Arial"/>
          <w:sz w:val="20"/>
          <w:szCs w:val="20"/>
        </w:rPr>
        <w:t xml:space="preserve">e stejná a je platná pro období od </w:t>
      </w:r>
      <w:proofErr w:type="gramStart"/>
      <w:r w:rsidR="008F13F8">
        <w:rPr>
          <w:rFonts w:ascii="Arial" w:hAnsi="Arial" w:cs="Arial"/>
          <w:sz w:val="20"/>
          <w:szCs w:val="20"/>
        </w:rPr>
        <w:t>1.1. do</w:t>
      </w:r>
      <w:proofErr w:type="gramEnd"/>
      <w:r w:rsidR="008F13F8">
        <w:rPr>
          <w:rFonts w:ascii="Arial" w:hAnsi="Arial" w:cs="Arial"/>
          <w:sz w:val="20"/>
          <w:szCs w:val="20"/>
        </w:rPr>
        <w:t xml:space="preserve"> 31.12. příslušného roku účinnosti této smlouvy o dodávkách</w:t>
      </w:r>
      <w:r w:rsidR="00756641">
        <w:rPr>
          <w:rFonts w:ascii="Arial" w:hAnsi="Arial" w:cs="Arial"/>
          <w:sz w:val="20"/>
          <w:szCs w:val="20"/>
        </w:rPr>
        <w:t xml:space="preserve">, </w:t>
      </w:r>
      <w:r w:rsidRPr="00646DC7">
        <w:rPr>
          <w:rFonts w:ascii="Arial" w:hAnsi="Arial" w:cs="Arial"/>
          <w:sz w:val="20"/>
          <w:szCs w:val="20"/>
        </w:rPr>
        <w:t xml:space="preserve">a souhlasí s tím, aby </w:t>
      </w:r>
      <w:r w:rsidR="00756641">
        <w:rPr>
          <w:rFonts w:ascii="Arial" w:hAnsi="Arial" w:cs="Arial"/>
          <w:sz w:val="20"/>
        </w:rPr>
        <w:t xml:space="preserve">provozovatel </w:t>
      </w:r>
      <w:r w:rsidR="00756641" w:rsidRPr="009363A4">
        <w:rPr>
          <w:rFonts w:ascii="Arial" w:hAnsi="Arial" w:cs="Arial"/>
          <w:sz w:val="20"/>
          <w:szCs w:val="20"/>
        </w:rPr>
        <w:t xml:space="preserve">pro </w:t>
      </w:r>
      <w:r w:rsidR="00756641">
        <w:rPr>
          <w:rFonts w:ascii="Arial" w:hAnsi="Arial" w:cs="Arial"/>
          <w:sz w:val="20"/>
        </w:rPr>
        <w:t>další</w:t>
      </w:r>
      <w:r w:rsidR="00756641" w:rsidRPr="009363A4">
        <w:rPr>
          <w:rFonts w:ascii="Arial" w:hAnsi="Arial" w:cs="Arial"/>
          <w:sz w:val="20"/>
          <w:szCs w:val="20"/>
        </w:rPr>
        <w:t xml:space="preserve"> rok</w:t>
      </w:r>
      <w:r w:rsidR="00756641">
        <w:rPr>
          <w:rFonts w:ascii="Arial" w:hAnsi="Arial" w:cs="Arial"/>
          <w:sz w:val="20"/>
        </w:rPr>
        <w:t>y</w:t>
      </w:r>
      <w:r w:rsidR="00756641" w:rsidRPr="009363A4">
        <w:rPr>
          <w:rFonts w:ascii="Arial" w:hAnsi="Arial" w:cs="Arial"/>
          <w:sz w:val="20"/>
          <w:szCs w:val="20"/>
        </w:rPr>
        <w:t xml:space="preserve"> účinnosti </w:t>
      </w:r>
      <w:r w:rsidR="00756641">
        <w:rPr>
          <w:rFonts w:ascii="Arial" w:hAnsi="Arial" w:cs="Arial"/>
          <w:sz w:val="20"/>
        </w:rPr>
        <w:t xml:space="preserve">této </w:t>
      </w:r>
      <w:r w:rsidR="00756641" w:rsidRPr="009363A4">
        <w:rPr>
          <w:rFonts w:ascii="Arial" w:hAnsi="Arial" w:cs="Arial"/>
          <w:sz w:val="20"/>
          <w:szCs w:val="20"/>
        </w:rPr>
        <w:t xml:space="preserve">smlouvy </w:t>
      </w:r>
      <w:r w:rsidR="00756641">
        <w:rPr>
          <w:rFonts w:ascii="Arial" w:hAnsi="Arial" w:cs="Arial"/>
          <w:sz w:val="20"/>
        </w:rPr>
        <w:t>o dodávkách stanovoval</w:t>
      </w:r>
    </w:p>
    <w:p w14:paraId="2D675D93" w14:textId="52FF66A2" w:rsidR="00A22BCE" w:rsidRPr="00646DC7" w:rsidRDefault="00A22BCE" w:rsidP="00646DC7">
      <w:pPr>
        <w:pStyle w:val="Odstavecseseznamem"/>
        <w:numPr>
          <w:ilvl w:val="0"/>
          <w:numId w:val="29"/>
        </w:numPr>
        <w:ind w:left="426" w:hanging="284"/>
        <w:contextualSpacing w:val="0"/>
        <w:rPr>
          <w:rFonts w:ascii="Arial" w:hAnsi="Arial" w:cs="Arial"/>
          <w:sz w:val="20"/>
        </w:rPr>
      </w:pPr>
      <w:r w:rsidRPr="00646DC7">
        <w:rPr>
          <w:rFonts w:ascii="Arial" w:hAnsi="Arial" w:cs="Arial"/>
          <w:sz w:val="20"/>
        </w:rPr>
        <w:t>cenu za trakční elektrick</w:t>
      </w:r>
      <w:r w:rsidR="00EF33F5">
        <w:rPr>
          <w:rFonts w:ascii="Arial" w:hAnsi="Arial" w:cs="Arial"/>
          <w:sz w:val="20"/>
        </w:rPr>
        <w:t>ou</w:t>
      </w:r>
      <w:r w:rsidRPr="00646DC7">
        <w:rPr>
          <w:rFonts w:ascii="Arial" w:hAnsi="Arial" w:cs="Arial"/>
          <w:sz w:val="20"/>
        </w:rPr>
        <w:t xml:space="preserve"> energi</w:t>
      </w:r>
      <w:r w:rsidR="00EF33F5">
        <w:rPr>
          <w:rFonts w:ascii="Arial" w:hAnsi="Arial" w:cs="Arial"/>
          <w:sz w:val="20"/>
        </w:rPr>
        <w:t>i</w:t>
      </w:r>
      <w:r w:rsidRPr="00646DC7">
        <w:rPr>
          <w:rFonts w:ascii="Arial" w:hAnsi="Arial" w:cs="Arial"/>
          <w:sz w:val="20"/>
        </w:rPr>
        <w:t xml:space="preserve"> transparentním způsobem na základě výsledku elektronické aukce provedené na </w:t>
      </w:r>
      <w:r w:rsidR="00EF33F5">
        <w:rPr>
          <w:rFonts w:ascii="Arial" w:hAnsi="Arial" w:cs="Arial"/>
          <w:sz w:val="20"/>
        </w:rPr>
        <w:t xml:space="preserve">základě </w:t>
      </w:r>
      <w:r w:rsidR="00D2786B">
        <w:rPr>
          <w:rFonts w:ascii="Arial" w:hAnsi="Arial" w:cs="Arial"/>
          <w:sz w:val="20"/>
        </w:rPr>
        <w:t>uskutečněných</w:t>
      </w:r>
      <w:r w:rsidR="00EF33F5">
        <w:rPr>
          <w:rFonts w:ascii="Arial" w:hAnsi="Arial" w:cs="Arial"/>
          <w:sz w:val="20"/>
        </w:rPr>
        <w:t xml:space="preserve"> nákupních kroků </w:t>
      </w:r>
      <w:r w:rsidRPr="00646DC7">
        <w:rPr>
          <w:rFonts w:ascii="Arial" w:hAnsi="Arial" w:cs="Arial"/>
          <w:sz w:val="20"/>
        </w:rPr>
        <w:t>na příslušné komoditní burze s tím, že cena za trakční elektrick</w:t>
      </w:r>
      <w:r w:rsidR="00EF33F5">
        <w:rPr>
          <w:rFonts w:ascii="Arial" w:hAnsi="Arial" w:cs="Arial"/>
          <w:sz w:val="20"/>
        </w:rPr>
        <w:t>ou</w:t>
      </w:r>
      <w:r w:rsidRPr="00646DC7">
        <w:rPr>
          <w:rFonts w:ascii="Arial" w:hAnsi="Arial" w:cs="Arial"/>
          <w:sz w:val="20"/>
        </w:rPr>
        <w:t xml:space="preserve"> energi</w:t>
      </w:r>
      <w:r w:rsidR="00EF33F5">
        <w:rPr>
          <w:rFonts w:ascii="Arial" w:hAnsi="Arial" w:cs="Arial"/>
          <w:sz w:val="20"/>
        </w:rPr>
        <w:t>i</w:t>
      </w:r>
      <w:r w:rsidRPr="00646DC7">
        <w:rPr>
          <w:rFonts w:ascii="Arial" w:hAnsi="Arial" w:cs="Arial"/>
          <w:sz w:val="20"/>
        </w:rPr>
        <w:t xml:space="preserve"> včetně jejího dodavatele se mohou v letech následujících po roce nabytí účinnosti </w:t>
      </w:r>
      <w:r>
        <w:rPr>
          <w:rFonts w:ascii="Arial" w:hAnsi="Arial" w:cs="Arial"/>
          <w:sz w:val="20"/>
        </w:rPr>
        <w:t xml:space="preserve">této </w:t>
      </w:r>
      <w:r w:rsidRPr="00646DC7">
        <w:rPr>
          <w:rFonts w:ascii="Arial" w:hAnsi="Arial" w:cs="Arial"/>
          <w:sz w:val="20"/>
        </w:rPr>
        <w:t>smlouvy</w:t>
      </w:r>
      <w:r>
        <w:rPr>
          <w:rFonts w:ascii="Arial" w:hAnsi="Arial" w:cs="Arial"/>
          <w:sz w:val="20"/>
        </w:rPr>
        <w:t xml:space="preserve"> o</w:t>
      </w:r>
      <w:r w:rsidR="005A4685">
        <w:rPr>
          <w:rFonts w:ascii="Arial" w:hAnsi="Arial" w:cs="Arial"/>
          <w:sz w:val="20"/>
        </w:rPr>
        <w:t> </w:t>
      </w:r>
      <w:r>
        <w:rPr>
          <w:rFonts w:ascii="Arial" w:hAnsi="Arial" w:cs="Arial"/>
          <w:sz w:val="20"/>
        </w:rPr>
        <w:t>dodávkách</w:t>
      </w:r>
      <w:r w:rsidR="000D1D20" w:rsidRPr="000D1D20">
        <w:rPr>
          <w:rFonts w:ascii="Arial" w:hAnsi="Arial" w:cs="Arial"/>
          <w:sz w:val="20"/>
        </w:rPr>
        <w:t xml:space="preserve"> </w:t>
      </w:r>
      <w:r w:rsidR="000D1D20" w:rsidRPr="00646DC7">
        <w:rPr>
          <w:rFonts w:ascii="Arial" w:hAnsi="Arial" w:cs="Arial"/>
          <w:sz w:val="20"/>
        </w:rPr>
        <w:t>měnit</w:t>
      </w:r>
      <w:r w:rsidRPr="00646DC7">
        <w:rPr>
          <w:rFonts w:ascii="Arial" w:hAnsi="Arial" w:cs="Arial"/>
          <w:sz w:val="20"/>
        </w:rPr>
        <w:t xml:space="preserve"> a</w:t>
      </w:r>
    </w:p>
    <w:p w14:paraId="1971349A" w14:textId="79CC2CC6" w:rsidR="005A4685" w:rsidRDefault="00A22BCE" w:rsidP="00646DC7">
      <w:pPr>
        <w:pStyle w:val="Odstavecseseznamem"/>
        <w:numPr>
          <w:ilvl w:val="0"/>
          <w:numId w:val="29"/>
        </w:numPr>
        <w:ind w:left="426" w:hanging="284"/>
        <w:contextualSpacing w:val="0"/>
        <w:rPr>
          <w:rFonts w:ascii="Arial" w:hAnsi="Arial" w:cs="Arial"/>
          <w:sz w:val="20"/>
        </w:rPr>
      </w:pPr>
      <w:r w:rsidRPr="00646DC7">
        <w:rPr>
          <w:rFonts w:ascii="Arial" w:hAnsi="Arial" w:cs="Arial"/>
          <w:sz w:val="20"/>
        </w:rPr>
        <w:t>cen</w:t>
      </w:r>
      <w:r w:rsidR="00756641">
        <w:rPr>
          <w:rFonts w:ascii="Arial" w:hAnsi="Arial" w:cs="Arial"/>
          <w:sz w:val="20"/>
        </w:rPr>
        <w:t>u</w:t>
      </w:r>
      <w:r w:rsidRPr="00646DC7">
        <w:rPr>
          <w:rFonts w:ascii="Arial" w:hAnsi="Arial" w:cs="Arial"/>
          <w:sz w:val="20"/>
        </w:rPr>
        <w:t xml:space="preserve"> za zajišťování dodávání trakční elektrické energie </w:t>
      </w:r>
      <w:r w:rsidR="00CF2ABA">
        <w:rPr>
          <w:rFonts w:ascii="Arial" w:hAnsi="Arial" w:cs="Arial"/>
          <w:sz w:val="20"/>
        </w:rPr>
        <w:t xml:space="preserve">prokazatelným způsobem </w:t>
      </w:r>
      <w:r w:rsidRPr="00646DC7">
        <w:rPr>
          <w:rFonts w:ascii="Arial" w:hAnsi="Arial" w:cs="Arial"/>
          <w:sz w:val="20"/>
        </w:rPr>
        <w:t xml:space="preserve">v závislosti na výši nákladů, které </w:t>
      </w:r>
      <w:r w:rsidR="005A4685">
        <w:rPr>
          <w:rFonts w:ascii="Arial" w:hAnsi="Arial" w:cs="Arial"/>
          <w:sz w:val="20"/>
        </w:rPr>
        <w:t xml:space="preserve">provozovateli </w:t>
      </w:r>
      <w:r w:rsidR="005A4685" w:rsidRPr="00D70E32">
        <w:rPr>
          <w:rFonts w:ascii="Arial" w:hAnsi="Arial" w:cs="Arial"/>
          <w:sz w:val="20"/>
        </w:rPr>
        <w:t xml:space="preserve">budou </w:t>
      </w:r>
      <w:r w:rsidR="005A4685">
        <w:rPr>
          <w:rFonts w:ascii="Arial" w:hAnsi="Arial" w:cs="Arial"/>
          <w:sz w:val="20"/>
        </w:rPr>
        <w:t>vznikat</w:t>
      </w:r>
      <w:r w:rsidRPr="00646DC7">
        <w:rPr>
          <w:rFonts w:ascii="Arial" w:hAnsi="Arial" w:cs="Arial"/>
          <w:sz w:val="20"/>
        </w:rPr>
        <w:t xml:space="preserve"> v souvislosti s poskytováním doplňkové služby dodávek trakční elektrické energie s tím, že cena za zajišťování dodávání trakční elektrické energie </w:t>
      </w:r>
      <w:r w:rsidR="000D1D20">
        <w:rPr>
          <w:rFonts w:ascii="Arial" w:hAnsi="Arial" w:cs="Arial"/>
          <w:sz w:val="20"/>
        </w:rPr>
        <w:t xml:space="preserve">se </w:t>
      </w:r>
      <w:r w:rsidRPr="00646DC7">
        <w:rPr>
          <w:rFonts w:ascii="Arial" w:hAnsi="Arial" w:cs="Arial"/>
          <w:sz w:val="20"/>
        </w:rPr>
        <w:t xml:space="preserve">v letech následujících po roce nabytí účinnosti </w:t>
      </w:r>
      <w:r w:rsidR="005A4685">
        <w:rPr>
          <w:rFonts w:ascii="Arial" w:hAnsi="Arial" w:cs="Arial"/>
          <w:sz w:val="20"/>
        </w:rPr>
        <w:t>této</w:t>
      </w:r>
      <w:r w:rsidRPr="00646DC7">
        <w:rPr>
          <w:rFonts w:ascii="Arial" w:hAnsi="Arial" w:cs="Arial"/>
          <w:sz w:val="20"/>
        </w:rPr>
        <w:t xml:space="preserve"> smlouvy </w:t>
      </w:r>
      <w:r w:rsidR="005A4685">
        <w:rPr>
          <w:rFonts w:ascii="Arial" w:hAnsi="Arial" w:cs="Arial"/>
          <w:sz w:val="20"/>
        </w:rPr>
        <w:t>o dodávkách</w:t>
      </w:r>
      <w:r w:rsidR="000D1D20">
        <w:rPr>
          <w:rFonts w:ascii="Arial" w:hAnsi="Arial" w:cs="Arial"/>
          <w:sz w:val="20"/>
        </w:rPr>
        <w:t xml:space="preserve"> může měnit</w:t>
      </w:r>
      <w:r w:rsidR="00EF33F5">
        <w:rPr>
          <w:rFonts w:ascii="Arial" w:hAnsi="Arial" w:cs="Arial"/>
          <w:sz w:val="20"/>
        </w:rPr>
        <w:t xml:space="preserve"> v důsledku změny těchto nákladů anebo jejich výše</w:t>
      </w:r>
      <w:r w:rsidR="005A4685">
        <w:rPr>
          <w:rFonts w:ascii="Arial" w:hAnsi="Arial" w:cs="Arial"/>
          <w:sz w:val="20"/>
        </w:rPr>
        <w:t>.</w:t>
      </w:r>
    </w:p>
    <w:p w14:paraId="249D22ED" w14:textId="24AFC377" w:rsidR="00A22BCE" w:rsidRDefault="00A22BCE" w:rsidP="00C552BE">
      <w:pPr>
        <w:pStyle w:val="Zkladntext2"/>
        <w:spacing w:line="240" w:lineRule="auto"/>
        <w:jc w:val="both"/>
        <w:rPr>
          <w:rFonts w:ascii="Arial" w:hAnsi="Arial" w:cs="Arial"/>
          <w:sz w:val="20"/>
          <w:szCs w:val="20"/>
        </w:rPr>
      </w:pPr>
      <w:r w:rsidRPr="00BC3B0C">
        <w:rPr>
          <w:rFonts w:ascii="Arial" w:hAnsi="Arial" w:cs="Arial"/>
          <w:sz w:val="20"/>
          <w:szCs w:val="20"/>
        </w:rPr>
        <w:t xml:space="preserve">Postup stanovení ceny </w:t>
      </w:r>
      <w:r w:rsidR="005A4685">
        <w:rPr>
          <w:rFonts w:ascii="Arial" w:hAnsi="Arial" w:cs="Arial"/>
          <w:sz w:val="20"/>
          <w:szCs w:val="20"/>
        </w:rPr>
        <w:t xml:space="preserve">za doplňkovou službu dodávek trakční elektrické energie </w:t>
      </w:r>
      <w:r w:rsidRPr="00BC3B0C">
        <w:rPr>
          <w:rFonts w:ascii="Arial" w:hAnsi="Arial" w:cs="Arial"/>
          <w:sz w:val="20"/>
          <w:szCs w:val="20"/>
        </w:rPr>
        <w:t xml:space="preserve">provozovatelem </w:t>
      </w:r>
      <w:r>
        <w:rPr>
          <w:rFonts w:ascii="Arial" w:hAnsi="Arial" w:cs="Arial"/>
          <w:sz w:val="20"/>
          <w:szCs w:val="20"/>
        </w:rPr>
        <w:t xml:space="preserve">a </w:t>
      </w:r>
      <w:r w:rsidR="005A4685">
        <w:rPr>
          <w:rFonts w:ascii="Arial" w:hAnsi="Arial" w:cs="Arial"/>
          <w:sz w:val="20"/>
          <w:szCs w:val="20"/>
        </w:rPr>
        <w:t xml:space="preserve">způsob </w:t>
      </w:r>
      <w:r>
        <w:rPr>
          <w:rFonts w:ascii="Arial" w:hAnsi="Arial" w:cs="Arial"/>
          <w:sz w:val="20"/>
          <w:szCs w:val="20"/>
        </w:rPr>
        <w:t xml:space="preserve">jejího oznámení dopravci </w:t>
      </w:r>
      <w:r w:rsidR="005A4685">
        <w:rPr>
          <w:rFonts w:ascii="Arial" w:hAnsi="Arial" w:cs="Arial"/>
          <w:sz w:val="20"/>
          <w:szCs w:val="20"/>
        </w:rPr>
        <w:t xml:space="preserve">jsou sjednány v této </w:t>
      </w:r>
      <w:r w:rsidRPr="00BC3B0C">
        <w:rPr>
          <w:rFonts w:ascii="Arial" w:hAnsi="Arial" w:cs="Arial"/>
          <w:sz w:val="20"/>
          <w:szCs w:val="20"/>
        </w:rPr>
        <w:t>smlou</w:t>
      </w:r>
      <w:r w:rsidR="005A4685">
        <w:rPr>
          <w:rFonts w:ascii="Arial" w:hAnsi="Arial" w:cs="Arial"/>
          <w:sz w:val="20"/>
          <w:szCs w:val="20"/>
        </w:rPr>
        <w:t xml:space="preserve">vě </w:t>
      </w:r>
      <w:r w:rsidRPr="00BC3B0C">
        <w:rPr>
          <w:rFonts w:ascii="Arial" w:hAnsi="Arial" w:cs="Arial"/>
          <w:sz w:val="20"/>
          <w:szCs w:val="20"/>
        </w:rPr>
        <w:t>o dodávkách</w:t>
      </w:r>
      <w:r w:rsidR="005A4685">
        <w:rPr>
          <w:rFonts w:ascii="Arial" w:hAnsi="Arial" w:cs="Arial"/>
          <w:sz w:val="20"/>
          <w:szCs w:val="20"/>
        </w:rPr>
        <w:t>.</w:t>
      </w:r>
    </w:p>
    <w:p w14:paraId="1AFF615F" w14:textId="6FF77017" w:rsidR="00762F59" w:rsidRDefault="003D5021" w:rsidP="0075376A">
      <w:pPr>
        <w:spacing w:after="120"/>
        <w:jc w:val="both"/>
        <w:rPr>
          <w:rFonts w:ascii="Arial" w:hAnsi="Arial" w:cs="Arial"/>
          <w:sz w:val="20"/>
          <w:szCs w:val="20"/>
        </w:rPr>
      </w:pPr>
      <w:bookmarkStart w:id="7" w:name="_Hlk512437913"/>
      <w:bookmarkEnd w:id="6"/>
      <w:r>
        <w:rPr>
          <w:rFonts w:ascii="Arial" w:hAnsi="Arial" w:cs="Arial"/>
          <w:sz w:val="20"/>
          <w:szCs w:val="20"/>
        </w:rPr>
        <w:t xml:space="preserve">Dopravce má </w:t>
      </w:r>
      <w:r w:rsidR="000D5689" w:rsidRPr="006961B7">
        <w:rPr>
          <w:rFonts w:ascii="Arial" w:hAnsi="Arial" w:cs="Arial"/>
          <w:sz w:val="20"/>
          <w:szCs w:val="20"/>
        </w:rPr>
        <w:t>předběžný</w:t>
      </w:r>
      <w:r w:rsidR="000D5689">
        <w:rPr>
          <w:rFonts w:ascii="Arial" w:hAnsi="Arial" w:cs="Arial"/>
          <w:sz w:val="20"/>
          <w:szCs w:val="20"/>
        </w:rPr>
        <w:t xml:space="preserve"> </w:t>
      </w:r>
      <w:r>
        <w:rPr>
          <w:rFonts w:ascii="Arial" w:hAnsi="Arial" w:cs="Arial"/>
          <w:sz w:val="20"/>
          <w:szCs w:val="20"/>
        </w:rPr>
        <w:t>zájem</w:t>
      </w:r>
      <w:r w:rsidR="00762F59">
        <w:rPr>
          <w:rFonts w:ascii="Arial" w:hAnsi="Arial" w:cs="Arial"/>
          <w:sz w:val="20"/>
          <w:szCs w:val="20"/>
        </w:rPr>
        <w:t xml:space="preserve"> </w:t>
      </w:r>
      <w:r w:rsidR="00AB4717">
        <w:rPr>
          <w:rFonts w:ascii="Arial" w:hAnsi="Arial" w:cs="Arial"/>
          <w:sz w:val="20"/>
          <w:szCs w:val="20"/>
        </w:rPr>
        <w:t>přijmout od provozovatele v každém roce účinnosti této smlouvy o</w:t>
      </w:r>
      <w:r w:rsidR="00E00B5C">
        <w:rPr>
          <w:rFonts w:ascii="Arial" w:hAnsi="Arial" w:cs="Arial"/>
          <w:sz w:val="20"/>
          <w:szCs w:val="20"/>
        </w:rPr>
        <w:t> </w:t>
      </w:r>
      <w:r w:rsidR="00AB4717">
        <w:rPr>
          <w:rFonts w:ascii="Arial" w:hAnsi="Arial" w:cs="Arial"/>
          <w:sz w:val="20"/>
          <w:szCs w:val="20"/>
        </w:rPr>
        <w:t xml:space="preserve">dodávkách </w:t>
      </w:r>
      <w:r w:rsidR="00762F59">
        <w:rPr>
          <w:rFonts w:ascii="Arial" w:hAnsi="Arial" w:cs="Arial"/>
          <w:sz w:val="20"/>
          <w:szCs w:val="20"/>
        </w:rPr>
        <w:t>doplňkov</w:t>
      </w:r>
      <w:r w:rsidR="00AB4717">
        <w:rPr>
          <w:rFonts w:ascii="Arial" w:hAnsi="Arial" w:cs="Arial"/>
          <w:sz w:val="20"/>
          <w:szCs w:val="20"/>
        </w:rPr>
        <w:t>ou</w:t>
      </w:r>
      <w:r w:rsidR="00762F59">
        <w:rPr>
          <w:rFonts w:ascii="Arial" w:hAnsi="Arial" w:cs="Arial"/>
          <w:sz w:val="20"/>
          <w:szCs w:val="20"/>
        </w:rPr>
        <w:t xml:space="preserve"> služb</w:t>
      </w:r>
      <w:r w:rsidR="00AB4717">
        <w:rPr>
          <w:rFonts w:ascii="Arial" w:hAnsi="Arial" w:cs="Arial"/>
          <w:sz w:val="20"/>
          <w:szCs w:val="20"/>
        </w:rPr>
        <w:t>u</w:t>
      </w:r>
      <w:r w:rsidR="00762F59">
        <w:rPr>
          <w:rFonts w:ascii="Arial" w:hAnsi="Arial" w:cs="Arial"/>
          <w:sz w:val="20"/>
          <w:szCs w:val="20"/>
        </w:rPr>
        <w:t xml:space="preserve"> dodávek trakční elektrické energie</w:t>
      </w:r>
      <w:r w:rsidR="00F85E6E">
        <w:rPr>
          <w:rFonts w:ascii="Arial" w:hAnsi="Arial" w:cs="Arial"/>
          <w:sz w:val="20"/>
          <w:szCs w:val="20"/>
        </w:rPr>
        <w:t xml:space="preserve"> </w:t>
      </w:r>
      <w:r w:rsidR="00AB4717">
        <w:rPr>
          <w:rFonts w:ascii="Arial" w:hAnsi="Arial" w:cs="Arial"/>
          <w:sz w:val="20"/>
          <w:szCs w:val="20"/>
        </w:rPr>
        <w:t xml:space="preserve">v rozsahu, který bude </w:t>
      </w:r>
      <w:r w:rsidR="00F146AC">
        <w:rPr>
          <w:rFonts w:ascii="Arial" w:hAnsi="Arial" w:cs="Arial"/>
          <w:sz w:val="20"/>
          <w:szCs w:val="20"/>
        </w:rPr>
        <w:t>odpovídat</w:t>
      </w:r>
      <w:r w:rsidR="00AB4717" w:rsidRPr="009363A4">
        <w:rPr>
          <w:rFonts w:ascii="Arial" w:hAnsi="Arial" w:cs="Arial"/>
          <w:sz w:val="20"/>
          <w:szCs w:val="20"/>
        </w:rPr>
        <w:t xml:space="preserve"> </w:t>
      </w:r>
      <w:r w:rsidR="00E00B5C">
        <w:rPr>
          <w:rFonts w:ascii="Arial" w:hAnsi="Arial" w:cs="Arial"/>
          <w:sz w:val="20"/>
          <w:szCs w:val="20"/>
        </w:rPr>
        <w:t xml:space="preserve">předpokládanému </w:t>
      </w:r>
      <w:r w:rsidR="00AB4717" w:rsidRPr="009363A4">
        <w:rPr>
          <w:rFonts w:ascii="Arial" w:hAnsi="Arial" w:cs="Arial"/>
          <w:sz w:val="20"/>
          <w:szCs w:val="20"/>
        </w:rPr>
        <w:t>objemu</w:t>
      </w:r>
      <w:r w:rsidR="00AB4717">
        <w:rPr>
          <w:rFonts w:ascii="Arial" w:hAnsi="Arial" w:cs="Arial"/>
          <w:sz w:val="20"/>
          <w:szCs w:val="20"/>
        </w:rPr>
        <w:t xml:space="preserve"> spotřeby trakční elektrické energie dopravcem </w:t>
      </w:r>
      <w:r w:rsidR="00F146AC">
        <w:rPr>
          <w:rFonts w:ascii="Arial" w:hAnsi="Arial" w:cs="Arial"/>
          <w:sz w:val="20"/>
          <w:szCs w:val="20"/>
        </w:rPr>
        <w:t xml:space="preserve">vypočítaným </w:t>
      </w:r>
      <w:r w:rsidR="0010203E">
        <w:rPr>
          <w:rFonts w:ascii="Arial" w:hAnsi="Arial" w:cs="Arial"/>
          <w:sz w:val="20"/>
          <w:szCs w:val="20"/>
        </w:rPr>
        <w:t>podle vývoje jeho spotřeby</w:t>
      </w:r>
      <w:r w:rsidR="00F146AC" w:rsidRPr="00F146AC">
        <w:rPr>
          <w:rFonts w:ascii="Arial" w:hAnsi="Arial" w:cs="Arial"/>
          <w:sz w:val="20"/>
          <w:szCs w:val="20"/>
        </w:rPr>
        <w:t xml:space="preserve"> </w:t>
      </w:r>
      <w:r w:rsidR="00F146AC">
        <w:rPr>
          <w:rFonts w:ascii="Arial" w:hAnsi="Arial" w:cs="Arial"/>
          <w:sz w:val="20"/>
          <w:szCs w:val="20"/>
        </w:rPr>
        <w:t>v předchozích letech</w:t>
      </w:r>
      <w:r w:rsidR="00C974EF">
        <w:rPr>
          <w:rFonts w:ascii="Arial" w:hAnsi="Arial" w:cs="Arial"/>
          <w:sz w:val="20"/>
          <w:szCs w:val="20"/>
        </w:rPr>
        <w:t xml:space="preserve">, </w:t>
      </w:r>
      <w:r w:rsidR="009C4E51">
        <w:rPr>
          <w:rFonts w:ascii="Arial" w:hAnsi="Arial" w:cs="Arial"/>
          <w:sz w:val="20"/>
          <w:szCs w:val="20"/>
        </w:rPr>
        <w:t xml:space="preserve">jinak v rozsahu dohodnutém smluvními stranami, neexistují-li údaje pro stanovení </w:t>
      </w:r>
      <w:r w:rsidR="00C974EF">
        <w:rPr>
          <w:rFonts w:ascii="Arial" w:hAnsi="Arial" w:cs="Arial"/>
          <w:sz w:val="20"/>
          <w:szCs w:val="20"/>
        </w:rPr>
        <w:t>vývoj</w:t>
      </w:r>
      <w:r w:rsidR="009C4E51">
        <w:rPr>
          <w:rFonts w:ascii="Arial" w:hAnsi="Arial" w:cs="Arial"/>
          <w:sz w:val="20"/>
          <w:szCs w:val="20"/>
        </w:rPr>
        <w:t>e</w:t>
      </w:r>
      <w:r w:rsidR="00C974EF">
        <w:rPr>
          <w:rFonts w:ascii="Arial" w:hAnsi="Arial" w:cs="Arial"/>
          <w:sz w:val="20"/>
          <w:szCs w:val="20"/>
        </w:rPr>
        <w:t xml:space="preserve"> </w:t>
      </w:r>
      <w:r w:rsidR="009C4E51">
        <w:rPr>
          <w:rFonts w:ascii="Arial" w:hAnsi="Arial" w:cs="Arial"/>
          <w:sz w:val="20"/>
          <w:szCs w:val="20"/>
        </w:rPr>
        <w:t xml:space="preserve">jeho </w:t>
      </w:r>
      <w:r w:rsidR="00C974EF">
        <w:rPr>
          <w:rFonts w:ascii="Arial" w:hAnsi="Arial" w:cs="Arial"/>
          <w:sz w:val="20"/>
          <w:szCs w:val="20"/>
        </w:rPr>
        <w:t xml:space="preserve">spotřeby </w:t>
      </w:r>
      <w:r w:rsidR="009C4E51">
        <w:rPr>
          <w:rFonts w:ascii="Arial" w:hAnsi="Arial" w:cs="Arial"/>
          <w:sz w:val="20"/>
          <w:szCs w:val="20"/>
        </w:rPr>
        <w:t>v předchozích letech</w:t>
      </w:r>
      <w:r w:rsidR="00F85E6E">
        <w:rPr>
          <w:rFonts w:ascii="Arial" w:hAnsi="Arial" w:cs="Arial"/>
          <w:sz w:val="20"/>
          <w:szCs w:val="20"/>
        </w:rPr>
        <w:t>.</w:t>
      </w:r>
    </w:p>
    <w:bookmarkEnd w:id="5"/>
    <w:bookmarkEnd w:id="7"/>
    <w:p w14:paraId="6F1A3D4D" w14:textId="77777777" w:rsidR="00F95C97" w:rsidRPr="002377E0" w:rsidRDefault="00B16A8A" w:rsidP="009543B9">
      <w:pPr>
        <w:keepNext/>
        <w:spacing w:before="480" w:after="240"/>
        <w:jc w:val="center"/>
        <w:rPr>
          <w:rFonts w:ascii="Arial" w:hAnsi="Arial" w:cs="Arial"/>
          <w:b/>
          <w:sz w:val="20"/>
          <w:szCs w:val="20"/>
        </w:rPr>
      </w:pPr>
      <w:r w:rsidRPr="002377E0">
        <w:rPr>
          <w:rFonts w:ascii="Arial" w:hAnsi="Arial" w:cs="Arial"/>
          <w:b/>
          <w:spacing w:val="60"/>
          <w:sz w:val="20"/>
          <w:szCs w:val="20"/>
        </w:rPr>
        <w:t>Kapitola</w:t>
      </w:r>
      <w:r w:rsidR="00F95C97" w:rsidRPr="002377E0">
        <w:rPr>
          <w:rFonts w:ascii="Arial" w:hAnsi="Arial" w:cs="Arial"/>
          <w:b/>
          <w:spacing w:val="60"/>
          <w:sz w:val="20"/>
          <w:szCs w:val="20"/>
        </w:rPr>
        <w:t xml:space="preserve"> I</w:t>
      </w:r>
      <w:r w:rsidR="004D7DA1" w:rsidRPr="002377E0">
        <w:rPr>
          <w:rFonts w:ascii="Arial" w:hAnsi="Arial" w:cs="Arial"/>
          <w:b/>
          <w:spacing w:val="60"/>
          <w:sz w:val="20"/>
          <w:szCs w:val="20"/>
        </w:rPr>
        <w:br/>
      </w:r>
      <w:r w:rsidR="00DD0BDE" w:rsidRPr="002377E0">
        <w:rPr>
          <w:rFonts w:ascii="Arial" w:hAnsi="Arial" w:cs="Arial"/>
          <w:b/>
          <w:sz w:val="20"/>
          <w:szCs w:val="20"/>
        </w:rPr>
        <w:t>Dodávky trakční elektrické energie</w:t>
      </w:r>
    </w:p>
    <w:p w14:paraId="5CAE9700" w14:textId="69F4BD36" w:rsidR="00C7249A" w:rsidRPr="002377E0" w:rsidRDefault="00F70E34" w:rsidP="009543B9">
      <w:pPr>
        <w:keepNext/>
        <w:spacing w:before="480" w:after="240"/>
        <w:jc w:val="center"/>
        <w:rPr>
          <w:rFonts w:ascii="Arial" w:hAnsi="Arial" w:cs="Arial"/>
          <w:b/>
          <w:sz w:val="20"/>
          <w:szCs w:val="20"/>
        </w:rPr>
      </w:pPr>
      <w:r w:rsidRPr="002377E0">
        <w:rPr>
          <w:rFonts w:ascii="Arial" w:hAnsi="Arial" w:cs="Arial"/>
          <w:b/>
          <w:spacing w:val="60"/>
          <w:sz w:val="20"/>
          <w:szCs w:val="20"/>
        </w:rPr>
        <w:t>Článek 1</w:t>
      </w:r>
      <w:r w:rsidR="004D7DA1" w:rsidRPr="002377E0">
        <w:rPr>
          <w:rFonts w:ascii="Arial" w:hAnsi="Arial" w:cs="Arial"/>
          <w:b/>
          <w:sz w:val="20"/>
          <w:szCs w:val="20"/>
        </w:rPr>
        <w:br/>
      </w:r>
      <w:r w:rsidR="00355928">
        <w:rPr>
          <w:rFonts w:ascii="Arial" w:hAnsi="Arial" w:cs="Arial"/>
          <w:b/>
          <w:sz w:val="20"/>
          <w:szCs w:val="20"/>
        </w:rPr>
        <w:t>Úvodní ustanovení a p</w:t>
      </w:r>
      <w:r w:rsidR="00DD0BDE" w:rsidRPr="002377E0">
        <w:rPr>
          <w:rFonts w:ascii="Arial" w:hAnsi="Arial" w:cs="Arial"/>
          <w:b/>
          <w:sz w:val="20"/>
          <w:szCs w:val="20"/>
        </w:rPr>
        <w:t>ředmět smlouvy o dodávkách</w:t>
      </w:r>
    </w:p>
    <w:p w14:paraId="0B269B6C" w14:textId="77777777" w:rsidR="00F146AC" w:rsidRDefault="004A08F7" w:rsidP="004A08F7">
      <w:pPr>
        <w:spacing w:after="120"/>
        <w:ind w:left="426" w:hanging="426"/>
        <w:jc w:val="both"/>
        <w:rPr>
          <w:rFonts w:ascii="Arial" w:hAnsi="Arial" w:cs="Arial"/>
          <w:sz w:val="20"/>
          <w:szCs w:val="20"/>
        </w:rPr>
      </w:pPr>
      <w:r>
        <w:rPr>
          <w:rFonts w:ascii="Arial" w:hAnsi="Arial" w:cs="Arial"/>
          <w:sz w:val="20"/>
          <w:szCs w:val="20"/>
        </w:rPr>
        <w:t>1</w:t>
      </w:r>
      <w:r w:rsidR="00355928">
        <w:rPr>
          <w:rFonts w:ascii="Arial" w:hAnsi="Arial" w:cs="Arial"/>
          <w:sz w:val="20"/>
          <w:szCs w:val="20"/>
        </w:rPr>
        <w:t>.</w:t>
      </w:r>
      <w:r w:rsidR="00355928">
        <w:rPr>
          <w:rFonts w:ascii="Arial" w:hAnsi="Arial" w:cs="Arial"/>
          <w:sz w:val="20"/>
          <w:szCs w:val="20"/>
        </w:rPr>
        <w:tab/>
        <w:t>Předmětem</w:t>
      </w:r>
      <w:r w:rsidR="00B54D7A" w:rsidRPr="00BC3B0C">
        <w:rPr>
          <w:rFonts w:ascii="Arial" w:hAnsi="Arial" w:cs="Arial"/>
          <w:sz w:val="20"/>
          <w:szCs w:val="20"/>
        </w:rPr>
        <w:t xml:space="preserve"> této </w:t>
      </w:r>
      <w:r w:rsidR="006E082A" w:rsidRPr="00BC3B0C">
        <w:rPr>
          <w:rFonts w:ascii="Arial" w:hAnsi="Arial" w:cs="Arial"/>
          <w:sz w:val="20"/>
          <w:szCs w:val="20"/>
        </w:rPr>
        <w:t>smlouvy o dodávkách</w:t>
      </w:r>
      <w:r w:rsidR="00185EBC" w:rsidRPr="00BC3B0C">
        <w:rPr>
          <w:rFonts w:ascii="Arial" w:hAnsi="Arial" w:cs="Arial"/>
          <w:sz w:val="20"/>
          <w:szCs w:val="20"/>
        </w:rPr>
        <w:t xml:space="preserve"> </w:t>
      </w:r>
      <w:r w:rsidR="00355928">
        <w:rPr>
          <w:rFonts w:ascii="Arial" w:hAnsi="Arial" w:cs="Arial"/>
          <w:sz w:val="20"/>
          <w:szCs w:val="20"/>
        </w:rPr>
        <w:t>je závazek p</w:t>
      </w:r>
      <w:r w:rsidR="00D00067" w:rsidRPr="00BC3B0C">
        <w:rPr>
          <w:rFonts w:ascii="Arial" w:hAnsi="Arial" w:cs="Arial"/>
          <w:sz w:val="20"/>
          <w:szCs w:val="20"/>
        </w:rPr>
        <w:t>rovozovatel</w:t>
      </w:r>
      <w:r w:rsidR="009543BF">
        <w:rPr>
          <w:rFonts w:ascii="Arial" w:hAnsi="Arial" w:cs="Arial"/>
          <w:sz w:val="20"/>
          <w:szCs w:val="20"/>
        </w:rPr>
        <w:t>e</w:t>
      </w:r>
      <w:r w:rsidR="00D00067" w:rsidRPr="00BC3B0C">
        <w:rPr>
          <w:rFonts w:ascii="Arial" w:hAnsi="Arial" w:cs="Arial"/>
          <w:sz w:val="20"/>
          <w:szCs w:val="20"/>
        </w:rPr>
        <w:t xml:space="preserve"> </w:t>
      </w:r>
      <w:r w:rsidR="00355928">
        <w:rPr>
          <w:rFonts w:ascii="Arial" w:hAnsi="Arial" w:cs="Arial"/>
          <w:sz w:val="20"/>
          <w:szCs w:val="20"/>
        </w:rPr>
        <w:t xml:space="preserve">poskytovat </w:t>
      </w:r>
      <w:r w:rsidR="00185EBC" w:rsidRPr="00BC3B0C">
        <w:rPr>
          <w:rFonts w:ascii="Arial" w:hAnsi="Arial" w:cs="Arial"/>
          <w:sz w:val="20"/>
          <w:szCs w:val="20"/>
        </w:rPr>
        <w:t xml:space="preserve">dopravci </w:t>
      </w:r>
      <w:r w:rsidR="00F146AC">
        <w:rPr>
          <w:rFonts w:ascii="Arial" w:hAnsi="Arial" w:cs="Arial"/>
          <w:sz w:val="20"/>
          <w:szCs w:val="20"/>
        </w:rPr>
        <w:t xml:space="preserve">ve smyslu </w:t>
      </w:r>
      <w:r w:rsidR="00185EBC" w:rsidRPr="00BC3B0C">
        <w:rPr>
          <w:rFonts w:ascii="Arial" w:hAnsi="Arial" w:cs="Arial"/>
          <w:sz w:val="20"/>
          <w:szCs w:val="20"/>
        </w:rPr>
        <w:t>zákon</w:t>
      </w:r>
      <w:r w:rsidR="00F146AC">
        <w:rPr>
          <w:rFonts w:ascii="Arial" w:hAnsi="Arial" w:cs="Arial"/>
          <w:sz w:val="20"/>
          <w:szCs w:val="20"/>
        </w:rPr>
        <w:t>a</w:t>
      </w:r>
      <w:r w:rsidR="00185EBC" w:rsidRPr="00BC3B0C">
        <w:rPr>
          <w:rFonts w:ascii="Arial" w:hAnsi="Arial" w:cs="Arial"/>
          <w:sz w:val="20"/>
          <w:szCs w:val="20"/>
        </w:rPr>
        <w:t xml:space="preserve"> o dráhách </w:t>
      </w:r>
      <w:r w:rsidR="00B54D7A" w:rsidRPr="00BC3B0C">
        <w:rPr>
          <w:rFonts w:ascii="Arial" w:hAnsi="Arial" w:cs="Arial"/>
          <w:sz w:val="20"/>
          <w:szCs w:val="20"/>
        </w:rPr>
        <w:t xml:space="preserve">doplňkovou službu </w:t>
      </w:r>
      <w:r w:rsidR="00B54D7A" w:rsidRPr="00AB4717">
        <w:rPr>
          <w:rFonts w:ascii="Arial" w:hAnsi="Arial" w:cs="Arial"/>
          <w:sz w:val="20"/>
          <w:szCs w:val="20"/>
        </w:rPr>
        <w:t>dodávek trakční elektrické energie</w:t>
      </w:r>
      <w:r w:rsidR="00185EBC" w:rsidRPr="00AB4717">
        <w:rPr>
          <w:rFonts w:ascii="Arial" w:hAnsi="Arial" w:cs="Arial"/>
          <w:sz w:val="20"/>
          <w:szCs w:val="20"/>
        </w:rPr>
        <w:t xml:space="preserve"> (dále jen „</w:t>
      </w:r>
      <w:r w:rsidR="00185EBC" w:rsidRPr="00247824">
        <w:rPr>
          <w:rFonts w:ascii="Arial" w:hAnsi="Arial" w:cs="Arial"/>
          <w:b/>
          <w:sz w:val="20"/>
          <w:szCs w:val="20"/>
        </w:rPr>
        <w:t>služba dodávek</w:t>
      </w:r>
      <w:r w:rsidR="00185EBC" w:rsidRPr="00AB4717">
        <w:rPr>
          <w:rFonts w:ascii="Arial" w:hAnsi="Arial" w:cs="Arial"/>
          <w:sz w:val="20"/>
          <w:szCs w:val="20"/>
        </w:rPr>
        <w:t>“)</w:t>
      </w:r>
      <w:r w:rsidR="00B54D7A" w:rsidRPr="00AB4717">
        <w:rPr>
          <w:rFonts w:ascii="Arial" w:hAnsi="Arial" w:cs="Arial"/>
          <w:sz w:val="20"/>
          <w:szCs w:val="20"/>
        </w:rPr>
        <w:t xml:space="preserve">. </w:t>
      </w:r>
    </w:p>
    <w:p w14:paraId="3B62DFD7" w14:textId="0F553EBA" w:rsidR="007F4FD7" w:rsidRDefault="00F146AC" w:rsidP="004A08F7">
      <w:pPr>
        <w:spacing w:after="120"/>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bookmarkStart w:id="8" w:name="_Hlk517087880"/>
      <w:r w:rsidR="00392F45">
        <w:rPr>
          <w:rFonts w:ascii="Arial" w:hAnsi="Arial" w:cs="Arial"/>
          <w:sz w:val="20"/>
          <w:szCs w:val="20"/>
        </w:rPr>
        <w:t xml:space="preserve">Provozovatel nakoupí ve prospěch dopravce pro každý rok účinnosti této smlouvy o dodávkách trakční elektrickou energii v předpokládaném objemu, který bude odpovídat objemu spotřeby trakční elektrické energie dopravcem vypočítaným podle stavu jeho spotřeby v předchozím roce, </w:t>
      </w:r>
      <w:r w:rsidR="009C4E51">
        <w:rPr>
          <w:rFonts w:ascii="Arial" w:hAnsi="Arial" w:cs="Arial"/>
          <w:sz w:val="20"/>
          <w:szCs w:val="20"/>
        </w:rPr>
        <w:t>jinak v </w:t>
      </w:r>
      <w:r w:rsidR="00AD3BB8">
        <w:rPr>
          <w:rFonts w:ascii="Arial" w:hAnsi="Arial" w:cs="Arial"/>
          <w:sz w:val="20"/>
          <w:szCs w:val="20"/>
        </w:rPr>
        <w:t>objemu</w:t>
      </w:r>
      <w:r w:rsidR="009C4E51">
        <w:rPr>
          <w:rFonts w:ascii="Arial" w:hAnsi="Arial" w:cs="Arial"/>
          <w:sz w:val="20"/>
          <w:szCs w:val="20"/>
        </w:rPr>
        <w:t xml:space="preserve"> dohodnutém smluvními stranami, neexistují-li údaje pro stanovení stavu jeho spotřeby za předchozí rok, </w:t>
      </w:r>
      <w:r w:rsidR="00392F45">
        <w:rPr>
          <w:rFonts w:ascii="Arial" w:hAnsi="Arial" w:cs="Arial"/>
          <w:sz w:val="20"/>
          <w:szCs w:val="20"/>
        </w:rPr>
        <w:lastRenderedPageBreak/>
        <w:t>a zajistí dodávání trakční elektrické energie na sběrač elektrického hnacího vozidla dopravce. Nedohodnou-li se smluvní strany jinak, spotřebuje dopravce objem trakční elektrické energie, který v jeho prospěch pro příslušný rok účinnosti této smlouvy o dodávkách nakoupil ve smyslu předchozí věty provozovatel, a to s toleranční odchylkou maximálně plus nebo minus 25 % ve vztahu k takto nakoupenému objemu.</w:t>
      </w:r>
      <w:bookmarkEnd w:id="8"/>
    </w:p>
    <w:p w14:paraId="01D98122" w14:textId="1F9D6A08" w:rsidR="00B46674" w:rsidRPr="00BC3B0C" w:rsidRDefault="00F146AC" w:rsidP="00B46674">
      <w:pPr>
        <w:spacing w:after="120"/>
        <w:ind w:left="397" w:hanging="397"/>
        <w:jc w:val="both"/>
        <w:rPr>
          <w:rFonts w:ascii="Arial" w:hAnsi="Arial" w:cs="Arial"/>
          <w:sz w:val="20"/>
          <w:szCs w:val="20"/>
        </w:rPr>
      </w:pPr>
      <w:r>
        <w:rPr>
          <w:rFonts w:ascii="Arial" w:hAnsi="Arial" w:cs="Arial"/>
          <w:sz w:val="20"/>
          <w:szCs w:val="20"/>
        </w:rPr>
        <w:t>3</w:t>
      </w:r>
      <w:r w:rsidR="00D970A1" w:rsidRPr="00BC3B0C">
        <w:rPr>
          <w:rFonts w:ascii="Arial" w:hAnsi="Arial" w:cs="Arial"/>
          <w:sz w:val="20"/>
          <w:szCs w:val="20"/>
        </w:rPr>
        <w:t>.</w:t>
      </w:r>
      <w:r w:rsidR="00D970A1" w:rsidRPr="00BC3B0C">
        <w:rPr>
          <w:rFonts w:ascii="Arial" w:hAnsi="Arial" w:cs="Arial"/>
          <w:sz w:val="20"/>
          <w:szCs w:val="20"/>
        </w:rPr>
        <w:tab/>
      </w:r>
      <w:r w:rsidR="00353D0C">
        <w:rPr>
          <w:rFonts w:ascii="Arial" w:hAnsi="Arial" w:cs="Arial"/>
          <w:sz w:val="20"/>
          <w:szCs w:val="20"/>
        </w:rPr>
        <w:t>Předmětem této smlouvy o dodávkách je dále závazek d</w:t>
      </w:r>
      <w:r w:rsidR="00867C9C" w:rsidRPr="00BC3B0C">
        <w:rPr>
          <w:rFonts w:ascii="Arial" w:hAnsi="Arial" w:cs="Arial"/>
          <w:sz w:val="20"/>
          <w:szCs w:val="20"/>
        </w:rPr>
        <w:t xml:space="preserve">opravce hradit provozovateli cenu za </w:t>
      </w:r>
      <w:r w:rsidR="00B54D7A" w:rsidRPr="00BC3B0C">
        <w:rPr>
          <w:rFonts w:ascii="Arial" w:hAnsi="Arial" w:cs="Arial"/>
          <w:sz w:val="20"/>
          <w:szCs w:val="20"/>
        </w:rPr>
        <w:t xml:space="preserve">službu dodávek </w:t>
      </w:r>
      <w:r w:rsidR="00185EBC" w:rsidRPr="00BC3B0C">
        <w:rPr>
          <w:rFonts w:ascii="Arial" w:hAnsi="Arial" w:cs="Arial"/>
          <w:sz w:val="20"/>
          <w:szCs w:val="20"/>
        </w:rPr>
        <w:t xml:space="preserve">způsobem </w:t>
      </w:r>
      <w:r w:rsidR="00C2520C">
        <w:rPr>
          <w:rFonts w:ascii="Arial" w:hAnsi="Arial" w:cs="Arial"/>
          <w:sz w:val="20"/>
          <w:szCs w:val="20"/>
        </w:rPr>
        <w:t xml:space="preserve">a </w:t>
      </w:r>
      <w:r w:rsidR="00B54D7A" w:rsidRPr="00BC3B0C">
        <w:rPr>
          <w:rFonts w:ascii="Arial" w:hAnsi="Arial" w:cs="Arial"/>
          <w:sz w:val="20"/>
          <w:szCs w:val="20"/>
        </w:rPr>
        <w:t>za podmínek dle této smlouvy o dodávkách</w:t>
      </w:r>
      <w:r w:rsidR="00867C9C" w:rsidRPr="00BC3B0C">
        <w:rPr>
          <w:rFonts w:ascii="Arial" w:hAnsi="Arial" w:cs="Arial"/>
          <w:sz w:val="20"/>
          <w:szCs w:val="20"/>
        </w:rPr>
        <w:t>.</w:t>
      </w:r>
      <w:r w:rsidR="00B46674" w:rsidRPr="00BC3B0C">
        <w:rPr>
          <w:rFonts w:ascii="Arial" w:hAnsi="Arial" w:cs="Arial"/>
          <w:sz w:val="20"/>
          <w:szCs w:val="20"/>
        </w:rPr>
        <w:t xml:space="preserve"> </w:t>
      </w:r>
      <w:r w:rsidR="00EC66B8" w:rsidRPr="00BC3B0C">
        <w:rPr>
          <w:rFonts w:ascii="Arial" w:hAnsi="Arial" w:cs="Arial"/>
          <w:sz w:val="20"/>
          <w:szCs w:val="20"/>
        </w:rPr>
        <w:t>Smluvní strany se dohodly, že cena za službu dodávek zahrnuje cenu za trakční elektrick</w:t>
      </w:r>
      <w:r w:rsidR="00EF33F5">
        <w:rPr>
          <w:rFonts w:ascii="Arial" w:hAnsi="Arial" w:cs="Arial"/>
          <w:sz w:val="20"/>
          <w:szCs w:val="20"/>
        </w:rPr>
        <w:t>ou</w:t>
      </w:r>
      <w:r w:rsidR="00EC66B8" w:rsidRPr="00BC3B0C">
        <w:rPr>
          <w:rFonts w:ascii="Arial" w:hAnsi="Arial" w:cs="Arial"/>
          <w:sz w:val="20"/>
          <w:szCs w:val="20"/>
        </w:rPr>
        <w:t xml:space="preserve"> energi</w:t>
      </w:r>
      <w:r w:rsidR="00EF33F5">
        <w:rPr>
          <w:rFonts w:ascii="Arial" w:hAnsi="Arial" w:cs="Arial"/>
          <w:sz w:val="20"/>
          <w:szCs w:val="20"/>
        </w:rPr>
        <w:t>i</w:t>
      </w:r>
      <w:r w:rsidR="00EC66B8" w:rsidRPr="00BC3B0C">
        <w:rPr>
          <w:rFonts w:ascii="Arial" w:hAnsi="Arial" w:cs="Arial"/>
          <w:sz w:val="20"/>
          <w:szCs w:val="20"/>
        </w:rPr>
        <w:t xml:space="preserve"> a cenu za zajišťování dodávání trakční elektrické energie </w:t>
      </w:r>
      <w:r w:rsidR="00FB5BCF">
        <w:rPr>
          <w:rFonts w:ascii="Arial" w:hAnsi="Arial" w:cs="Arial"/>
          <w:sz w:val="20"/>
          <w:szCs w:val="20"/>
        </w:rPr>
        <w:t xml:space="preserve">po trakčním vedení </w:t>
      </w:r>
      <w:r w:rsidR="00EC66B8" w:rsidRPr="00BC3B0C">
        <w:rPr>
          <w:rFonts w:ascii="Arial" w:hAnsi="Arial" w:cs="Arial"/>
          <w:sz w:val="20"/>
          <w:szCs w:val="20"/>
        </w:rPr>
        <w:t>provozovatele</w:t>
      </w:r>
      <w:r w:rsidR="00FB5BCF">
        <w:rPr>
          <w:rFonts w:ascii="Arial" w:hAnsi="Arial" w:cs="Arial"/>
          <w:sz w:val="20"/>
          <w:szCs w:val="20"/>
        </w:rPr>
        <w:t xml:space="preserve"> na sběrač elektrického hnacího vozidla</w:t>
      </w:r>
      <w:r w:rsidR="00EC66B8" w:rsidRPr="00BC3B0C">
        <w:rPr>
          <w:rFonts w:ascii="Arial" w:hAnsi="Arial" w:cs="Arial"/>
          <w:sz w:val="20"/>
          <w:szCs w:val="20"/>
        </w:rPr>
        <w:t xml:space="preserve"> dopravc</w:t>
      </w:r>
      <w:r w:rsidR="00FB5BCF">
        <w:rPr>
          <w:rFonts w:ascii="Arial" w:hAnsi="Arial" w:cs="Arial"/>
          <w:sz w:val="20"/>
          <w:szCs w:val="20"/>
        </w:rPr>
        <w:t>e</w:t>
      </w:r>
      <w:r w:rsidR="00EC66B8" w:rsidRPr="00BC3B0C">
        <w:rPr>
          <w:rFonts w:ascii="Arial" w:hAnsi="Arial" w:cs="Arial"/>
          <w:sz w:val="20"/>
          <w:szCs w:val="20"/>
        </w:rPr>
        <w:t>.</w:t>
      </w:r>
      <w:r w:rsidR="00227B59">
        <w:rPr>
          <w:rFonts w:ascii="Arial" w:hAnsi="Arial" w:cs="Arial"/>
          <w:sz w:val="20"/>
          <w:szCs w:val="20"/>
        </w:rPr>
        <w:t xml:space="preserve"> </w:t>
      </w:r>
    </w:p>
    <w:p w14:paraId="103BAEE6" w14:textId="19DD7D76" w:rsidR="00EC66B8" w:rsidRPr="00BC3B0C" w:rsidRDefault="00F146AC" w:rsidP="00B46674">
      <w:pPr>
        <w:spacing w:after="120"/>
        <w:ind w:left="397" w:hanging="397"/>
        <w:jc w:val="both"/>
        <w:rPr>
          <w:rFonts w:ascii="Arial" w:hAnsi="Arial" w:cs="Arial"/>
          <w:sz w:val="20"/>
          <w:szCs w:val="20"/>
        </w:rPr>
      </w:pPr>
      <w:r>
        <w:rPr>
          <w:rFonts w:ascii="Arial" w:hAnsi="Arial" w:cs="Arial"/>
          <w:sz w:val="20"/>
          <w:szCs w:val="20"/>
        </w:rPr>
        <w:t>4</w:t>
      </w:r>
      <w:r w:rsidR="00EC66B8" w:rsidRPr="00BC3B0C">
        <w:rPr>
          <w:rFonts w:ascii="Arial" w:hAnsi="Arial" w:cs="Arial"/>
          <w:sz w:val="20"/>
          <w:szCs w:val="20"/>
        </w:rPr>
        <w:t>.</w:t>
      </w:r>
      <w:r w:rsidR="00EC66B8" w:rsidRPr="00BC3B0C">
        <w:rPr>
          <w:rFonts w:ascii="Arial" w:hAnsi="Arial" w:cs="Arial"/>
          <w:sz w:val="20"/>
          <w:szCs w:val="20"/>
        </w:rPr>
        <w:tab/>
        <w:t>Smluvní strany se při plnění této smlouvy o dodávkách zavazují dodržovat právní předpisy, zejména zákon o dráhách</w:t>
      </w:r>
      <w:r w:rsidR="00732947">
        <w:rPr>
          <w:rFonts w:ascii="Arial" w:hAnsi="Arial" w:cs="Arial"/>
          <w:sz w:val="20"/>
          <w:szCs w:val="20"/>
        </w:rPr>
        <w:t xml:space="preserve"> a cenové předpisy</w:t>
      </w:r>
      <w:r w:rsidR="00EC66B8" w:rsidRPr="00BC3B0C">
        <w:rPr>
          <w:rFonts w:ascii="Arial" w:hAnsi="Arial" w:cs="Arial"/>
          <w:sz w:val="20"/>
          <w:szCs w:val="20"/>
        </w:rPr>
        <w:t xml:space="preserve">, a dále prohlášení o dráze </w:t>
      </w:r>
      <w:r w:rsidR="00185EBC" w:rsidRPr="00BC3B0C">
        <w:rPr>
          <w:rFonts w:ascii="Arial" w:hAnsi="Arial" w:cs="Arial"/>
          <w:sz w:val="20"/>
          <w:szCs w:val="20"/>
        </w:rPr>
        <w:t xml:space="preserve">platné </w:t>
      </w:r>
      <w:r w:rsidR="00702679" w:rsidRPr="00BC3B0C">
        <w:rPr>
          <w:rFonts w:ascii="Arial" w:hAnsi="Arial" w:cs="Arial"/>
          <w:sz w:val="20"/>
          <w:szCs w:val="20"/>
        </w:rPr>
        <w:t>pro</w:t>
      </w:r>
      <w:r w:rsidR="00EC66B8" w:rsidRPr="00BC3B0C">
        <w:rPr>
          <w:rFonts w:ascii="Arial" w:hAnsi="Arial" w:cs="Arial"/>
          <w:sz w:val="20"/>
          <w:szCs w:val="20"/>
        </w:rPr>
        <w:t xml:space="preserve"> období příslušného jízdního řádu</w:t>
      </w:r>
      <w:r w:rsidR="002D7F3D">
        <w:rPr>
          <w:rFonts w:ascii="Arial" w:hAnsi="Arial" w:cs="Arial"/>
          <w:sz w:val="20"/>
          <w:szCs w:val="20"/>
        </w:rPr>
        <w:t>, pokud neb</w:t>
      </w:r>
      <w:r w:rsidR="00A9564D">
        <w:rPr>
          <w:rFonts w:ascii="Arial" w:hAnsi="Arial" w:cs="Arial"/>
          <w:sz w:val="20"/>
          <w:szCs w:val="20"/>
        </w:rPr>
        <w:t>ylo příslušným orgánem rozhodnuto, že prohlášení o dráze nebo jeho část je</w:t>
      </w:r>
      <w:r w:rsidR="002D7F3D">
        <w:rPr>
          <w:rFonts w:ascii="Arial" w:hAnsi="Arial" w:cs="Arial"/>
          <w:sz w:val="20"/>
          <w:szCs w:val="20"/>
        </w:rPr>
        <w:t xml:space="preserve"> v rozporu s právními předpisy</w:t>
      </w:r>
      <w:r w:rsidR="00EC66B8" w:rsidRPr="00BC3B0C">
        <w:rPr>
          <w:rFonts w:ascii="Arial" w:hAnsi="Arial" w:cs="Arial"/>
          <w:sz w:val="20"/>
          <w:szCs w:val="20"/>
        </w:rPr>
        <w:t>.</w:t>
      </w:r>
    </w:p>
    <w:p w14:paraId="5CB17437" w14:textId="77777777" w:rsidR="00CC706A" w:rsidRPr="002377E0" w:rsidRDefault="00CD373F" w:rsidP="009543B9">
      <w:pPr>
        <w:keepNext/>
        <w:spacing w:before="480" w:after="240"/>
        <w:jc w:val="center"/>
        <w:rPr>
          <w:rFonts w:ascii="Arial" w:hAnsi="Arial" w:cs="Arial"/>
          <w:b/>
          <w:sz w:val="20"/>
          <w:szCs w:val="20"/>
        </w:rPr>
      </w:pPr>
      <w:r w:rsidRPr="002377E0">
        <w:rPr>
          <w:rFonts w:ascii="Arial" w:hAnsi="Arial" w:cs="Arial"/>
          <w:b/>
          <w:spacing w:val="60"/>
          <w:sz w:val="20"/>
          <w:szCs w:val="20"/>
        </w:rPr>
        <w:t>Článe</w:t>
      </w:r>
      <w:r w:rsidR="00CC706A" w:rsidRPr="002377E0">
        <w:rPr>
          <w:rFonts w:ascii="Arial" w:hAnsi="Arial" w:cs="Arial"/>
          <w:b/>
          <w:spacing w:val="60"/>
          <w:sz w:val="20"/>
          <w:szCs w:val="20"/>
        </w:rPr>
        <w:t>k</w:t>
      </w:r>
      <w:r w:rsidRPr="002377E0">
        <w:rPr>
          <w:rFonts w:ascii="Arial" w:hAnsi="Arial" w:cs="Arial"/>
          <w:b/>
          <w:spacing w:val="60"/>
          <w:sz w:val="20"/>
          <w:szCs w:val="20"/>
        </w:rPr>
        <w:t xml:space="preserve"> </w:t>
      </w:r>
      <w:r w:rsidR="00CC706A" w:rsidRPr="002377E0">
        <w:rPr>
          <w:rFonts w:ascii="Arial" w:hAnsi="Arial" w:cs="Arial"/>
          <w:b/>
          <w:spacing w:val="60"/>
          <w:sz w:val="20"/>
          <w:szCs w:val="20"/>
        </w:rPr>
        <w:t>2</w:t>
      </w:r>
      <w:r w:rsidR="004D7DA1" w:rsidRPr="002377E0">
        <w:rPr>
          <w:rFonts w:ascii="Arial" w:hAnsi="Arial" w:cs="Arial"/>
          <w:b/>
          <w:sz w:val="20"/>
          <w:szCs w:val="20"/>
        </w:rPr>
        <w:br/>
      </w:r>
      <w:r w:rsidR="00CF2714" w:rsidRPr="002377E0">
        <w:rPr>
          <w:rFonts w:ascii="Arial" w:hAnsi="Arial" w:cs="Arial"/>
          <w:b/>
          <w:sz w:val="20"/>
          <w:szCs w:val="20"/>
        </w:rPr>
        <w:t xml:space="preserve">Evidence parametrů </w:t>
      </w:r>
      <w:r w:rsidR="008C2061" w:rsidRPr="002377E0">
        <w:rPr>
          <w:rFonts w:ascii="Arial" w:hAnsi="Arial" w:cs="Arial"/>
          <w:b/>
          <w:sz w:val="20"/>
          <w:szCs w:val="20"/>
        </w:rPr>
        <w:t xml:space="preserve">vlaků </w:t>
      </w:r>
      <w:r w:rsidR="00CF2714" w:rsidRPr="002377E0">
        <w:rPr>
          <w:rFonts w:ascii="Arial" w:hAnsi="Arial" w:cs="Arial"/>
          <w:b/>
          <w:sz w:val="20"/>
          <w:szCs w:val="20"/>
        </w:rPr>
        <w:t xml:space="preserve">a </w:t>
      </w:r>
      <w:r w:rsidR="008C2061" w:rsidRPr="002377E0">
        <w:rPr>
          <w:rFonts w:ascii="Arial" w:hAnsi="Arial" w:cs="Arial"/>
          <w:b/>
          <w:sz w:val="20"/>
          <w:szCs w:val="20"/>
        </w:rPr>
        <w:t xml:space="preserve">dopravních </w:t>
      </w:r>
      <w:r w:rsidR="00CF2714" w:rsidRPr="002377E0">
        <w:rPr>
          <w:rFonts w:ascii="Arial" w:hAnsi="Arial" w:cs="Arial"/>
          <w:b/>
          <w:sz w:val="20"/>
          <w:szCs w:val="20"/>
        </w:rPr>
        <w:t>výkonů</w:t>
      </w:r>
    </w:p>
    <w:p w14:paraId="1EC4377A" w14:textId="69D327C9" w:rsidR="00F32E8B" w:rsidRPr="00BC3B0C" w:rsidRDefault="00053F28" w:rsidP="006B47D9">
      <w:pPr>
        <w:spacing w:after="120"/>
        <w:ind w:left="397" w:hanging="397"/>
        <w:jc w:val="both"/>
        <w:rPr>
          <w:rFonts w:ascii="Arial" w:hAnsi="Arial" w:cs="Arial"/>
          <w:sz w:val="20"/>
          <w:szCs w:val="20"/>
        </w:rPr>
      </w:pPr>
      <w:r w:rsidRPr="00BC3B0C">
        <w:rPr>
          <w:rFonts w:ascii="Arial" w:hAnsi="Arial" w:cs="Arial"/>
          <w:sz w:val="20"/>
          <w:szCs w:val="20"/>
        </w:rPr>
        <w:t>1.</w:t>
      </w:r>
      <w:r w:rsidRPr="00BC3B0C">
        <w:rPr>
          <w:rFonts w:ascii="Arial" w:hAnsi="Arial" w:cs="Arial"/>
          <w:sz w:val="20"/>
          <w:szCs w:val="20"/>
        </w:rPr>
        <w:tab/>
      </w:r>
      <w:r w:rsidR="00302871" w:rsidRPr="00BC3B0C">
        <w:rPr>
          <w:rFonts w:ascii="Arial" w:hAnsi="Arial" w:cs="Arial"/>
          <w:sz w:val="20"/>
          <w:szCs w:val="20"/>
        </w:rPr>
        <w:t>Dopravce v</w:t>
      </w:r>
      <w:r w:rsidR="00923167" w:rsidRPr="00BC3B0C">
        <w:rPr>
          <w:rFonts w:ascii="Arial" w:hAnsi="Arial" w:cs="Arial"/>
          <w:sz w:val="20"/>
          <w:szCs w:val="20"/>
        </w:rPr>
        <w:t xml:space="preserve"> souladu se </w:t>
      </w:r>
      <w:r w:rsidR="006D64CE">
        <w:rPr>
          <w:rFonts w:ascii="Arial" w:hAnsi="Arial" w:cs="Arial"/>
          <w:sz w:val="20"/>
          <w:szCs w:val="20"/>
        </w:rPr>
        <w:t>S</w:t>
      </w:r>
      <w:r w:rsidR="00923167" w:rsidRPr="00BC3B0C">
        <w:rPr>
          <w:rFonts w:ascii="Arial" w:hAnsi="Arial" w:cs="Arial"/>
          <w:sz w:val="20"/>
          <w:szCs w:val="20"/>
        </w:rPr>
        <w:t xml:space="preserve">mlouvou o provozování </w:t>
      </w:r>
      <w:r w:rsidR="006B47D9" w:rsidRPr="00BC3B0C">
        <w:rPr>
          <w:rFonts w:ascii="Arial" w:hAnsi="Arial" w:cs="Arial"/>
          <w:sz w:val="20"/>
          <w:szCs w:val="20"/>
        </w:rPr>
        <w:t xml:space="preserve">předává provozovateli </w:t>
      </w:r>
      <w:r w:rsidR="003D2687" w:rsidRPr="00BC3B0C">
        <w:rPr>
          <w:rFonts w:ascii="Arial" w:hAnsi="Arial" w:cs="Arial"/>
          <w:sz w:val="20"/>
          <w:szCs w:val="20"/>
        </w:rPr>
        <w:t xml:space="preserve">a </w:t>
      </w:r>
      <w:r w:rsidR="006B47D9" w:rsidRPr="00BC3B0C">
        <w:rPr>
          <w:rFonts w:ascii="Arial" w:hAnsi="Arial" w:cs="Arial"/>
          <w:sz w:val="20"/>
          <w:szCs w:val="20"/>
        </w:rPr>
        <w:t xml:space="preserve">za sjednaných podmínek </w:t>
      </w:r>
      <w:r w:rsidR="003D2687" w:rsidRPr="00BC3B0C">
        <w:rPr>
          <w:rFonts w:ascii="Arial" w:hAnsi="Arial" w:cs="Arial"/>
          <w:sz w:val="20"/>
          <w:szCs w:val="20"/>
        </w:rPr>
        <w:t xml:space="preserve">vkládá do příslušných infomačních systémů provozovatele </w:t>
      </w:r>
      <w:r w:rsidR="00923167" w:rsidRPr="00BC3B0C">
        <w:rPr>
          <w:rFonts w:ascii="Arial" w:hAnsi="Arial" w:cs="Arial"/>
          <w:sz w:val="20"/>
          <w:szCs w:val="20"/>
        </w:rPr>
        <w:t>údaje týkající se parametrů vlak</w:t>
      </w:r>
      <w:r w:rsidR="006B47D9" w:rsidRPr="00BC3B0C">
        <w:rPr>
          <w:rFonts w:ascii="Arial" w:hAnsi="Arial" w:cs="Arial"/>
          <w:sz w:val="20"/>
          <w:szCs w:val="20"/>
        </w:rPr>
        <w:t>ů</w:t>
      </w:r>
      <w:r w:rsidR="003D2687" w:rsidRPr="00BC3B0C">
        <w:rPr>
          <w:rFonts w:ascii="Arial" w:hAnsi="Arial" w:cs="Arial"/>
          <w:sz w:val="20"/>
          <w:szCs w:val="20"/>
        </w:rPr>
        <w:t xml:space="preserve">, zejména aktuální údaje o hnacích vozidlech, elektrických a motorových jednotkách, speciálních hnacích vozidlech a jakýchkoli dalších drážních vozidlech, zejména těch, která z důvodu své konstrukce či pevné výbavy vyžadují uplatnění </w:t>
      </w:r>
      <w:r w:rsidR="006D64CE">
        <w:rPr>
          <w:rFonts w:ascii="Arial" w:hAnsi="Arial" w:cs="Arial"/>
          <w:sz w:val="20"/>
          <w:szCs w:val="20"/>
        </w:rPr>
        <w:t>příslušných</w:t>
      </w:r>
      <w:r w:rsidR="006D64CE" w:rsidRPr="00BC3B0C">
        <w:rPr>
          <w:rFonts w:ascii="Arial" w:hAnsi="Arial" w:cs="Arial"/>
          <w:sz w:val="20"/>
          <w:szCs w:val="20"/>
        </w:rPr>
        <w:t xml:space="preserve"> </w:t>
      </w:r>
      <w:r w:rsidR="003D2687" w:rsidRPr="00BC3B0C">
        <w:rPr>
          <w:rFonts w:ascii="Arial" w:hAnsi="Arial" w:cs="Arial"/>
          <w:sz w:val="20"/>
          <w:szCs w:val="20"/>
        </w:rPr>
        <w:t xml:space="preserve">sazeb při </w:t>
      </w:r>
      <w:r w:rsidR="006D64CE">
        <w:rPr>
          <w:rFonts w:ascii="Arial" w:hAnsi="Arial" w:cs="Arial"/>
          <w:sz w:val="20"/>
          <w:szCs w:val="20"/>
        </w:rPr>
        <w:t xml:space="preserve">stanovení </w:t>
      </w:r>
      <w:r w:rsidR="003D2687" w:rsidRPr="00BC3B0C">
        <w:rPr>
          <w:rFonts w:ascii="Arial" w:hAnsi="Arial" w:cs="Arial"/>
          <w:sz w:val="20"/>
          <w:szCs w:val="20"/>
        </w:rPr>
        <w:t>spotřeb</w:t>
      </w:r>
      <w:r w:rsidR="006D64CE">
        <w:rPr>
          <w:rFonts w:ascii="Arial" w:hAnsi="Arial" w:cs="Arial"/>
          <w:sz w:val="20"/>
          <w:szCs w:val="20"/>
        </w:rPr>
        <w:t>y</w:t>
      </w:r>
      <w:r w:rsidR="002631B9" w:rsidRPr="00BC3B0C">
        <w:rPr>
          <w:rFonts w:ascii="Arial" w:hAnsi="Arial" w:cs="Arial"/>
          <w:sz w:val="20"/>
          <w:szCs w:val="20"/>
        </w:rPr>
        <w:t xml:space="preserve"> </w:t>
      </w:r>
      <w:r w:rsidR="003D2687" w:rsidRPr="00BC3B0C">
        <w:rPr>
          <w:rFonts w:ascii="Arial" w:hAnsi="Arial" w:cs="Arial"/>
          <w:sz w:val="20"/>
          <w:szCs w:val="20"/>
        </w:rPr>
        <w:t>trakční elektrické energie</w:t>
      </w:r>
      <w:r w:rsidR="00F32E8B" w:rsidRPr="00BC3B0C">
        <w:rPr>
          <w:rFonts w:ascii="Arial" w:hAnsi="Arial" w:cs="Arial"/>
          <w:sz w:val="20"/>
          <w:szCs w:val="20"/>
        </w:rPr>
        <w:t xml:space="preserve">. V souladu s podmínkami sjednanými ve </w:t>
      </w:r>
      <w:r w:rsidR="006D64CE">
        <w:rPr>
          <w:rFonts w:ascii="Arial" w:hAnsi="Arial" w:cs="Arial"/>
          <w:sz w:val="20"/>
          <w:szCs w:val="20"/>
        </w:rPr>
        <w:t>S</w:t>
      </w:r>
      <w:r w:rsidR="00F32E8B" w:rsidRPr="00BC3B0C">
        <w:rPr>
          <w:rFonts w:ascii="Arial" w:hAnsi="Arial" w:cs="Arial"/>
          <w:sz w:val="20"/>
          <w:szCs w:val="20"/>
        </w:rPr>
        <w:t>mlouvě o provozování se za účelem zjištění ceny za použití dráhy evidují</w:t>
      </w:r>
      <w:r w:rsidR="008C2061" w:rsidRPr="00BC3B0C">
        <w:rPr>
          <w:rFonts w:ascii="Arial" w:hAnsi="Arial" w:cs="Arial"/>
          <w:sz w:val="20"/>
          <w:szCs w:val="20"/>
        </w:rPr>
        <w:t xml:space="preserve"> a </w:t>
      </w:r>
      <w:r w:rsidR="002631B9" w:rsidRPr="00BC3B0C">
        <w:rPr>
          <w:rFonts w:ascii="Arial" w:hAnsi="Arial" w:cs="Arial"/>
          <w:sz w:val="20"/>
          <w:szCs w:val="20"/>
        </w:rPr>
        <w:t xml:space="preserve">následně </w:t>
      </w:r>
      <w:r w:rsidR="008C2061" w:rsidRPr="00BC3B0C">
        <w:rPr>
          <w:rFonts w:ascii="Arial" w:hAnsi="Arial" w:cs="Arial"/>
          <w:sz w:val="20"/>
          <w:szCs w:val="20"/>
        </w:rPr>
        <w:t>stanovují</w:t>
      </w:r>
      <w:r w:rsidR="00F32E8B" w:rsidRPr="00BC3B0C">
        <w:rPr>
          <w:rFonts w:ascii="Arial" w:hAnsi="Arial" w:cs="Arial"/>
          <w:sz w:val="20"/>
          <w:szCs w:val="20"/>
        </w:rPr>
        <w:t xml:space="preserve"> dopravní výkony dopravce</w:t>
      </w:r>
      <w:r w:rsidR="00EC756F">
        <w:rPr>
          <w:rFonts w:ascii="Arial" w:hAnsi="Arial" w:cs="Arial"/>
          <w:sz w:val="20"/>
          <w:szCs w:val="20"/>
        </w:rPr>
        <w:t xml:space="preserve"> </w:t>
      </w:r>
      <w:r w:rsidR="00E570FA">
        <w:rPr>
          <w:rFonts w:ascii="Arial" w:hAnsi="Arial" w:cs="Arial"/>
          <w:sz w:val="20"/>
          <w:szCs w:val="20"/>
        </w:rPr>
        <w:t xml:space="preserve">též </w:t>
      </w:r>
      <w:r w:rsidR="00EC756F">
        <w:rPr>
          <w:rFonts w:ascii="Arial" w:hAnsi="Arial" w:cs="Arial"/>
          <w:sz w:val="20"/>
          <w:szCs w:val="20"/>
        </w:rPr>
        <w:t>ve sledovaných kategoriích vlaků se stanovenou měrnou spotřebou (</w:t>
      </w:r>
      <w:r w:rsidR="00B778A3">
        <w:rPr>
          <w:rFonts w:ascii="Arial" w:hAnsi="Arial" w:cs="Arial"/>
          <w:sz w:val="20"/>
          <w:szCs w:val="20"/>
        </w:rPr>
        <w:t>kWh/</w:t>
      </w:r>
      <w:r w:rsidR="00EC756F">
        <w:rPr>
          <w:rFonts w:ascii="Arial" w:hAnsi="Arial" w:cs="Arial"/>
          <w:sz w:val="20"/>
          <w:szCs w:val="20"/>
        </w:rPr>
        <w:t xml:space="preserve">tis. </w:t>
      </w:r>
      <w:proofErr w:type="spellStart"/>
      <w:r w:rsidR="00E570FA">
        <w:rPr>
          <w:rFonts w:ascii="Arial" w:hAnsi="Arial" w:cs="Arial"/>
          <w:sz w:val="20"/>
          <w:szCs w:val="20"/>
        </w:rPr>
        <w:t>h</w:t>
      </w:r>
      <w:r w:rsidR="00EC756F">
        <w:rPr>
          <w:rFonts w:ascii="Arial" w:hAnsi="Arial" w:cs="Arial"/>
          <w:sz w:val="20"/>
          <w:szCs w:val="20"/>
        </w:rPr>
        <w:t>rtkm</w:t>
      </w:r>
      <w:proofErr w:type="spellEnd"/>
      <w:r w:rsidR="00EC756F">
        <w:rPr>
          <w:rFonts w:ascii="Arial" w:hAnsi="Arial" w:cs="Arial"/>
          <w:sz w:val="20"/>
          <w:szCs w:val="20"/>
        </w:rPr>
        <w:t>)</w:t>
      </w:r>
      <w:r w:rsidR="00F32E8B" w:rsidRPr="00BC3B0C">
        <w:rPr>
          <w:rFonts w:ascii="Arial" w:hAnsi="Arial" w:cs="Arial"/>
          <w:sz w:val="20"/>
          <w:szCs w:val="20"/>
        </w:rPr>
        <w:t xml:space="preserve">. </w:t>
      </w:r>
    </w:p>
    <w:p w14:paraId="68910076" w14:textId="7934A904" w:rsidR="00F32E8B" w:rsidRPr="00BC3B0C" w:rsidRDefault="00F32E8B" w:rsidP="006B47D9">
      <w:pPr>
        <w:spacing w:after="120"/>
        <w:ind w:left="397" w:hanging="397"/>
        <w:jc w:val="both"/>
        <w:rPr>
          <w:rFonts w:ascii="Arial" w:hAnsi="Arial" w:cs="Arial"/>
          <w:sz w:val="20"/>
          <w:szCs w:val="20"/>
        </w:rPr>
      </w:pPr>
      <w:r w:rsidRPr="00BC3B0C">
        <w:rPr>
          <w:rFonts w:ascii="Arial" w:hAnsi="Arial" w:cs="Arial"/>
          <w:sz w:val="20"/>
          <w:szCs w:val="20"/>
        </w:rPr>
        <w:t>2.</w:t>
      </w:r>
      <w:r w:rsidRPr="00BC3B0C">
        <w:rPr>
          <w:rFonts w:ascii="Arial" w:hAnsi="Arial" w:cs="Arial"/>
          <w:sz w:val="20"/>
          <w:szCs w:val="20"/>
        </w:rPr>
        <w:tab/>
        <w:t xml:space="preserve">Dopravce tímto uděluje provozovateli podpisem této smlouvy o dodávkách souhlas k tomu, </w:t>
      </w:r>
      <w:r w:rsidR="008C2061" w:rsidRPr="00BC3B0C">
        <w:rPr>
          <w:rFonts w:ascii="Arial" w:hAnsi="Arial" w:cs="Arial"/>
          <w:sz w:val="20"/>
          <w:szCs w:val="20"/>
        </w:rPr>
        <w:t>aby</w:t>
      </w:r>
      <w:r w:rsidRPr="00BC3B0C">
        <w:rPr>
          <w:rFonts w:ascii="Arial" w:hAnsi="Arial" w:cs="Arial"/>
          <w:sz w:val="20"/>
          <w:szCs w:val="20"/>
        </w:rPr>
        <w:t xml:space="preserve"> provozovatel </w:t>
      </w:r>
      <w:r w:rsidR="00686142">
        <w:rPr>
          <w:rFonts w:ascii="Arial" w:hAnsi="Arial" w:cs="Arial"/>
          <w:sz w:val="20"/>
          <w:szCs w:val="20"/>
        </w:rPr>
        <w:t xml:space="preserve">výhradně </w:t>
      </w:r>
      <w:r w:rsidRPr="00BC3B0C">
        <w:rPr>
          <w:rFonts w:ascii="Arial" w:hAnsi="Arial" w:cs="Arial"/>
          <w:sz w:val="20"/>
          <w:szCs w:val="20"/>
        </w:rPr>
        <w:t xml:space="preserve">za účelem zjištění ceny za službu dodávek </w:t>
      </w:r>
      <w:r w:rsidR="002A28FC" w:rsidRPr="00BC3B0C">
        <w:rPr>
          <w:rFonts w:ascii="Arial" w:hAnsi="Arial" w:cs="Arial"/>
          <w:sz w:val="20"/>
          <w:szCs w:val="20"/>
        </w:rPr>
        <w:t xml:space="preserve">dle této smlouvy o dodávkách </w:t>
      </w:r>
      <w:r w:rsidR="008C2061" w:rsidRPr="00BC3B0C">
        <w:rPr>
          <w:rFonts w:ascii="Arial" w:hAnsi="Arial" w:cs="Arial"/>
          <w:sz w:val="20"/>
          <w:szCs w:val="20"/>
        </w:rPr>
        <w:t xml:space="preserve">použil </w:t>
      </w:r>
      <w:r w:rsidRPr="00BC3B0C">
        <w:rPr>
          <w:rFonts w:ascii="Arial" w:hAnsi="Arial" w:cs="Arial"/>
          <w:sz w:val="20"/>
          <w:szCs w:val="20"/>
        </w:rPr>
        <w:t xml:space="preserve">informace a údaje dle předchozího </w:t>
      </w:r>
      <w:r w:rsidR="00143171" w:rsidRPr="00BC3B0C">
        <w:rPr>
          <w:rFonts w:ascii="Arial" w:hAnsi="Arial" w:cs="Arial"/>
          <w:sz w:val="20"/>
          <w:szCs w:val="20"/>
        </w:rPr>
        <w:t>bodu</w:t>
      </w:r>
      <w:r w:rsidR="00686142">
        <w:rPr>
          <w:rFonts w:ascii="Arial" w:hAnsi="Arial" w:cs="Arial"/>
          <w:sz w:val="20"/>
          <w:szCs w:val="20"/>
        </w:rPr>
        <w:t>, a to v nezbytném rozsahu</w:t>
      </w:r>
      <w:r w:rsidRPr="00BC3B0C">
        <w:rPr>
          <w:rFonts w:ascii="Arial" w:hAnsi="Arial" w:cs="Arial"/>
          <w:sz w:val="20"/>
          <w:szCs w:val="20"/>
        </w:rPr>
        <w:t>.</w:t>
      </w:r>
    </w:p>
    <w:p w14:paraId="1DCB911A" w14:textId="5A7B23DB" w:rsidR="00D970A1" w:rsidRPr="002377E0" w:rsidRDefault="00381FBE" w:rsidP="009543B9">
      <w:pPr>
        <w:keepNext/>
        <w:spacing w:before="480" w:after="240"/>
        <w:jc w:val="center"/>
        <w:rPr>
          <w:rFonts w:ascii="Arial" w:hAnsi="Arial" w:cs="Arial"/>
          <w:b/>
          <w:sz w:val="20"/>
          <w:szCs w:val="20"/>
        </w:rPr>
      </w:pPr>
      <w:r w:rsidRPr="002377E0">
        <w:rPr>
          <w:rFonts w:ascii="Arial" w:hAnsi="Arial" w:cs="Arial"/>
          <w:b/>
          <w:spacing w:val="60"/>
          <w:sz w:val="20"/>
          <w:szCs w:val="20"/>
        </w:rPr>
        <w:t>Č</w:t>
      </w:r>
      <w:r w:rsidR="00EF52FD" w:rsidRPr="002377E0">
        <w:rPr>
          <w:rFonts w:ascii="Arial" w:hAnsi="Arial" w:cs="Arial"/>
          <w:b/>
          <w:spacing w:val="60"/>
          <w:sz w:val="20"/>
          <w:szCs w:val="20"/>
        </w:rPr>
        <w:t>láne</w:t>
      </w:r>
      <w:r w:rsidR="00D00D5C" w:rsidRPr="002377E0">
        <w:rPr>
          <w:rFonts w:ascii="Arial" w:hAnsi="Arial" w:cs="Arial"/>
          <w:b/>
          <w:spacing w:val="60"/>
          <w:sz w:val="20"/>
          <w:szCs w:val="20"/>
        </w:rPr>
        <w:t>k</w:t>
      </w:r>
      <w:r w:rsidR="00EF52FD" w:rsidRPr="002377E0">
        <w:rPr>
          <w:rFonts w:ascii="Arial" w:hAnsi="Arial" w:cs="Arial"/>
          <w:b/>
          <w:spacing w:val="60"/>
          <w:sz w:val="20"/>
          <w:szCs w:val="20"/>
        </w:rPr>
        <w:t xml:space="preserve"> </w:t>
      </w:r>
      <w:r w:rsidR="00176FD6" w:rsidRPr="002377E0">
        <w:rPr>
          <w:rFonts w:ascii="Arial" w:hAnsi="Arial" w:cs="Arial"/>
          <w:b/>
          <w:spacing w:val="60"/>
          <w:sz w:val="20"/>
          <w:szCs w:val="20"/>
        </w:rPr>
        <w:t>3</w:t>
      </w:r>
      <w:r w:rsidR="004D7DA1" w:rsidRPr="002377E0">
        <w:rPr>
          <w:rFonts w:ascii="Arial" w:hAnsi="Arial" w:cs="Arial"/>
          <w:b/>
          <w:spacing w:val="60"/>
          <w:sz w:val="20"/>
          <w:szCs w:val="20"/>
        </w:rPr>
        <w:br/>
      </w:r>
      <w:r w:rsidR="006D64CE">
        <w:rPr>
          <w:rFonts w:ascii="Arial" w:hAnsi="Arial" w:cs="Arial"/>
          <w:b/>
          <w:sz w:val="20"/>
          <w:szCs w:val="20"/>
        </w:rPr>
        <w:t>Stanovení</w:t>
      </w:r>
      <w:r w:rsidR="006D64CE" w:rsidRPr="002377E0">
        <w:rPr>
          <w:rFonts w:ascii="Arial" w:hAnsi="Arial" w:cs="Arial"/>
          <w:b/>
          <w:sz w:val="20"/>
          <w:szCs w:val="20"/>
        </w:rPr>
        <w:t xml:space="preserve"> </w:t>
      </w:r>
      <w:r w:rsidR="00176FD6" w:rsidRPr="002377E0">
        <w:rPr>
          <w:rFonts w:ascii="Arial" w:hAnsi="Arial" w:cs="Arial"/>
          <w:b/>
          <w:sz w:val="20"/>
          <w:szCs w:val="20"/>
        </w:rPr>
        <w:t>spotřeby</w:t>
      </w:r>
      <w:r w:rsidR="008C2061" w:rsidRPr="002377E0">
        <w:rPr>
          <w:rFonts w:ascii="Arial" w:hAnsi="Arial" w:cs="Arial"/>
          <w:b/>
          <w:sz w:val="20"/>
          <w:szCs w:val="20"/>
        </w:rPr>
        <w:t xml:space="preserve"> trakční elektrické energie</w:t>
      </w:r>
    </w:p>
    <w:p w14:paraId="64ED7B10" w14:textId="5A526C41" w:rsidR="00A44834" w:rsidRDefault="00A44834" w:rsidP="00A44834">
      <w:pPr>
        <w:spacing w:after="120"/>
        <w:ind w:left="397" w:hanging="397"/>
        <w:jc w:val="both"/>
        <w:rPr>
          <w:rFonts w:ascii="Arial" w:hAnsi="Arial" w:cs="Arial"/>
          <w:sz w:val="20"/>
          <w:szCs w:val="20"/>
        </w:rPr>
      </w:pPr>
      <w:r>
        <w:rPr>
          <w:rFonts w:ascii="Arial" w:hAnsi="Arial" w:cs="Arial"/>
          <w:sz w:val="20"/>
          <w:szCs w:val="20"/>
        </w:rPr>
        <w:t>1</w:t>
      </w:r>
      <w:r w:rsidR="00594F44" w:rsidRPr="00BC3B0C">
        <w:rPr>
          <w:rFonts w:ascii="Arial" w:hAnsi="Arial" w:cs="Arial"/>
          <w:sz w:val="20"/>
          <w:szCs w:val="20"/>
        </w:rPr>
        <w:t>.</w:t>
      </w:r>
      <w:r w:rsidR="00594F44" w:rsidRPr="00BC3B0C">
        <w:rPr>
          <w:rFonts w:ascii="Arial" w:hAnsi="Arial" w:cs="Arial"/>
          <w:sz w:val="20"/>
          <w:szCs w:val="20"/>
        </w:rPr>
        <w:tab/>
        <w:t>S</w:t>
      </w:r>
      <w:r w:rsidR="00DA5284">
        <w:rPr>
          <w:rFonts w:ascii="Arial" w:hAnsi="Arial" w:cs="Arial"/>
          <w:sz w:val="20"/>
          <w:szCs w:val="20"/>
        </w:rPr>
        <w:t>mluvní s</w:t>
      </w:r>
      <w:r w:rsidR="00594F44" w:rsidRPr="00BC3B0C">
        <w:rPr>
          <w:rFonts w:ascii="Arial" w:hAnsi="Arial" w:cs="Arial"/>
          <w:sz w:val="20"/>
          <w:szCs w:val="20"/>
        </w:rPr>
        <w:t xml:space="preserve">trany se dohodly a podpisem této smlouvy o dodávkách souhlasí s tím, aby spotřeba trakční elektrické energie </w:t>
      </w:r>
      <w:r w:rsidR="00B86C0B" w:rsidRPr="00BC3B0C">
        <w:rPr>
          <w:rFonts w:ascii="Arial" w:hAnsi="Arial" w:cs="Arial"/>
          <w:sz w:val="20"/>
          <w:szCs w:val="20"/>
        </w:rPr>
        <w:t>dopravcem</w:t>
      </w:r>
      <w:r w:rsidR="002377E0">
        <w:rPr>
          <w:rFonts w:ascii="Arial" w:hAnsi="Arial" w:cs="Arial"/>
          <w:sz w:val="20"/>
          <w:szCs w:val="20"/>
        </w:rPr>
        <w:t xml:space="preserve"> byla</w:t>
      </w:r>
      <w:r w:rsidR="00B86C0B" w:rsidRPr="00BC3B0C">
        <w:rPr>
          <w:rFonts w:ascii="Arial" w:hAnsi="Arial" w:cs="Arial"/>
          <w:sz w:val="20"/>
          <w:szCs w:val="20"/>
        </w:rPr>
        <w:t xml:space="preserve"> </w:t>
      </w:r>
      <w:r w:rsidR="00594F44" w:rsidRPr="00BC3B0C">
        <w:rPr>
          <w:rFonts w:ascii="Arial" w:hAnsi="Arial" w:cs="Arial"/>
          <w:sz w:val="20"/>
          <w:szCs w:val="20"/>
        </w:rPr>
        <w:t xml:space="preserve">od </w:t>
      </w:r>
      <w:r w:rsidR="00DA5284">
        <w:rPr>
          <w:rFonts w:ascii="Arial" w:hAnsi="Arial" w:cs="Arial"/>
          <w:sz w:val="20"/>
          <w:szCs w:val="20"/>
        </w:rPr>
        <w:t>účinnosti</w:t>
      </w:r>
      <w:r w:rsidR="00594F44" w:rsidRPr="00BC3B0C">
        <w:rPr>
          <w:rFonts w:ascii="Arial" w:hAnsi="Arial" w:cs="Arial"/>
          <w:sz w:val="20"/>
          <w:szCs w:val="20"/>
        </w:rPr>
        <w:t xml:space="preserve"> této smlouvy o dodávkách </w:t>
      </w:r>
      <w:r w:rsidR="006D64CE">
        <w:rPr>
          <w:rFonts w:ascii="Arial" w:hAnsi="Arial" w:cs="Arial"/>
          <w:sz w:val="20"/>
          <w:szCs w:val="20"/>
        </w:rPr>
        <w:t>stanovována</w:t>
      </w:r>
      <w:r w:rsidR="006D64CE" w:rsidRPr="00BC3B0C">
        <w:rPr>
          <w:rFonts w:ascii="Arial" w:hAnsi="Arial" w:cs="Arial"/>
          <w:sz w:val="20"/>
          <w:szCs w:val="20"/>
        </w:rPr>
        <w:t xml:space="preserve"> </w:t>
      </w:r>
      <w:r w:rsidR="00594F44" w:rsidRPr="00BC3B0C">
        <w:rPr>
          <w:rFonts w:ascii="Arial" w:hAnsi="Arial" w:cs="Arial"/>
          <w:sz w:val="20"/>
          <w:szCs w:val="20"/>
        </w:rPr>
        <w:t>metodikou využívající tzv. hybridního modelu</w:t>
      </w:r>
      <w:r w:rsidR="006A7083" w:rsidRPr="00BC3B0C">
        <w:rPr>
          <w:rFonts w:ascii="Arial" w:hAnsi="Arial" w:cs="Arial"/>
          <w:sz w:val="20"/>
          <w:szCs w:val="20"/>
        </w:rPr>
        <w:t xml:space="preserve">, který umožňuje přesnější </w:t>
      </w:r>
      <w:r w:rsidR="006D64CE">
        <w:rPr>
          <w:rFonts w:ascii="Arial" w:hAnsi="Arial" w:cs="Arial"/>
          <w:sz w:val="20"/>
          <w:szCs w:val="20"/>
        </w:rPr>
        <w:t>stanovení</w:t>
      </w:r>
      <w:r w:rsidR="006D64CE" w:rsidRPr="00BC3B0C">
        <w:rPr>
          <w:rFonts w:ascii="Arial" w:hAnsi="Arial" w:cs="Arial"/>
          <w:sz w:val="20"/>
          <w:szCs w:val="20"/>
        </w:rPr>
        <w:t xml:space="preserve"> </w:t>
      </w:r>
      <w:r w:rsidR="006A7083" w:rsidRPr="00BC3B0C">
        <w:rPr>
          <w:rFonts w:ascii="Arial" w:hAnsi="Arial" w:cs="Arial"/>
          <w:sz w:val="20"/>
          <w:szCs w:val="20"/>
        </w:rPr>
        <w:t>spotřeby trakční elektrické energie</w:t>
      </w:r>
      <w:r w:rsidR="00B86C0B" w:rsidRPr="00BC3B0C">
        <w:rPr>
          <w:rFonts w:ascii="Arial" w:hAnsi="Arial" w:cs="Arial"/>
          <w:sz w:val="20"/>
          <w:szCs w:val="20"/>
        </w:rPr>
        <w:t xml:space="preserve"> dopravcem</w:t>
      </w:r>
      <w:r w:rsidR="00594F44" w:rsidRPr="00BC3B0C">
        <w:rPr>
          <w:rFonts w:ascii="Arial" w:hAnsi="Arial" w:cs="Arial"/>
          <w:sz w:val="20"/>
          <w:szCs w:val="20"/>
        </w:rPr>
        <w:t>.</w:t>
      </w:r>
      <w:r w:rsidRPr="00A44834">
        <w:rPr>
          <w:rFonts w:ascii="Arial" w:hAnsi="Arial" w:cs="Arial"/>
          <w:sz w:val="20"/>
          <w:szCs w:val="20"/>
        </w:rPr>
        <w:t xml:space="preserve"> </w:t>
      </w:r>
    </w:p>
    <w:p w14:paraId="0694ED1B" w14:textId="33DB6B49" w:rsidR="00A44834" w:rsidRPr="00BC3B0C" w:rsidRDefault="00A44834" w:rsidP="00A44834">
      <w:pPr>
        <w:spacing w:after="120"/>
        <w:ind w:left="397" w:hanging="397"/>
        <w:jc w:val="both"/>
        <w:rPr>
          <w:rFonts w:ascii="Arial" w:hAnsi="Arial" w:cs="Arial"/>
          <w:sz w:val="20"/>
          <w:szCs w:val="20"/>
        </w:rPr>
      </w:pPr>
      <w:r>
        <w:rPr>
          <w:rFonts w:ascii="Arial" w:hAnsi="Arial" w:cs="Arial"/>
          <w:sz w:val="20"/>
          <w:szCs w:val="20"/>
        </w:rPr>
        <w:t>2</w:t>
      </w:r>
      <w:r w:rsidRPr="00BC3B0C">
        <w:rPr>
          <w:rFonts w:ascii="Arial" w:hAnsi="Arial" w:cs="Arial"/>
          <w:sz w:val="20"/>
          <w:szCs w:val="20"/>
        </w:rPr>
        <w:t>.</w:t>
      </w:r>
      <w:r w:rsidRPr="00BC3B0C">
        <w:rPr>
          <w:rFonts w:ascii="Arial" w:hAnsi="Arial" w:cs="Arial"/>
          <w:sz w:val="20"/>
          <w:szCs w:val="20"/>
        </w:rPr>
        <w:tab/>
        <w:t xml:space="preserve">Smluvní strany konstatují, že metodika </w:t>
      </w:r>
      <w:r>
        <w:rPr>
          <w:rFonts w:ascii="Arial" w:hAnsi="Arial" w:cs="Arial"/>
          <w:sz w:val="20"/>
          <w:szCs w:val="20"/>
        </w:rPr>
        <w:t xml:space="preserve">stanovení </w:t>
      </w:r>
      <w:r w:rsidRPr="00BC3B0C">
        <w:rPr>
          <w:rFonts w:ascii="Arial" w:hAnsi="Arial" w:cs="Arial"/>
          <w:sz w:val="20"/>
          <w:szCs w:val="20"/>
        </w:rPr>
        <w:t>spotřeby trakční elektrické energie dopravc</w:t>
      </w:r>
      <w:r>
        <w:rPr>
          <w:rFonts w:ascii="Arial" w:hAnsi="Arial" w:cs="Arial"/>
          <w:sz w:val="20"/>
          <w:szCs w:val="20"/>
        </w:rPr>
        <w:t>i</w:t>
      </w:r>
      <w:r w:rsidRPr="00BC3B0C">
        <w:rPr>
          <w:rFonts w:ascii="Arial" w:hAnsi="Arial" w:cs="Arial"/>
          <w:sz w:val="20"/>
          <w:szCs w:val="20"/>
        </w:rPr>
        <w:t xml:space="preserve"> </w:t>
      </w:r>
      <w:r>
        <w:rPr>
          <w:rFonts w:ascii="Arial" w:hAnsi="Arial" w:cs="Arial"/>
          <w:sz w:val="20"/>
          <w:szCs w:val="20"/>
        </w:rPr>
        <w:t xml:space="preserve">podle předchozího bodu </w:t>
      </w:r>
      <w:r w:rsidRPr="00BC3B0C">
        <w:rPr>
          <w:rFonts w:ascii="Arial" w:hAnsi="Arial" w:cs="Arial"/>
          <w:sz w:val="20"/>
          <w:szCs w:val="20"/>
        </w:rPr>
        <w:t xml:space="preserve">rozlišuje mezi hnacími vozidly opatřenými zařízeními, která umožňují </w:t>
      </w:r>
      <w:r>
        <w:rPr>
          <w:rFonts w:ascii="Arial" w:hAnsi="Arial" w:cs="Arial"/>
          <w:sz w:val="20"/>
          <w:szCs w:val="20"/>
        </w:rPr>
        <w:t>určení</w:t>
      </w:r>
      <w:r w:rsidRPr="00BC3B0C">
        <w:rPr>
          <w:rFonts w:ascii="Arial" w:hAnsi="Arial" w:cs="Arial"/>
          <w:sz w:val="20"/>
          <w:szCs w:val="20"/>
        </w:rPr>
        <w:t xml:space="preserve"> spotřeby trakční elektrické energie, a hnacími vozidly bez těchto zařízení.</w:t>
      </w:r>
    </w:p>
    <w:p w14:paraId="088665D9" w14:textId="36EF967D" w:rsidR="00CF2714" w:rsidRPr="00BC3B0C" w:rsidRDefault="00B24FE2" w:rsidP="00CF2714">
      <w:pPr>
        <w:spacing w:after="120"/>
        <w:ind w:left="397" w:hanging="397"/>
        <w:jc w:val="both"/>
        <w:rPr>
          <w:rFonts w:ascii="Arial" w:hAnsi="Arial" w:cs="Arial"/>
          <w:sz w:val="20"/>
          <w:szCs w:val="20"/>
        </w:rPr>
      </w:pPr>
      <w:r w:rsidRPr="00BC3B0C">
        <w:rPr>
          <w:rFonts w:ascii="Arial" w:hAnsi="Arial" w:cs="Arial"/>
          <w:sz w:val="20"/>
          <w:szCs w:val="20"/>
        </w:rPr>
        <w:t>3</w:t>
      </w:r>
      <w:r w:rsidR="00CF2714" w:rsidRPr="00BC3B0C">
        <w:rPr>
          <w:rFonts w:ascii="Arial" w:hAnsi="Arial" w:cs="Arial"/>
          <w:sz w:val="20"/>
          <w:szCs w:val="20"/>
        </w:rPr>
        <w:t>.</w:t>
      </w:r>
      <w:r w:rsidR="00CF2714" w:rsidRPr="00BC3B0C">
        <w:rPr>
          <w:rFonts w:ascii="Arial" w:hAnsi="Arial" w:cs="Arial"/>
          <w:sz w:val="20"/>
          <w:szCs w:val="20"/>
        </w:rPr>
        <w:tab/>
        <w:t>Smluvní strany se dohodly, že spotřeba trakční elektrické energie</w:t>
      </w:r>
      <w:r w:rsidR="0036761F" w:rsidRPr="00BC3B0C">
        <w:rPr>
          <w:rFonts w:ascii="Arial" w:hAnsi="Arial" w:cs="Arial"/>
          <w:sz w:val="20"/>
          <w:szCs w:val="20"/>
        </w:rPr>
        <w:t xml:space="preserve"> dopravcem</w:t>
      </w:r>
      <w:r w:rsidR="00CF2714" w:rsidRPr="00BC3B0C">
        <w:rPr>
          <w:rFonts w:ascii="Arial" w:hAnsi="Arial" w:cs="Arial"/>
          <w:sz w:val="20"/>
          <w:szCs w:val="20"/>
        </w:rPr>
        <w:t xml:space="preserve"> bude </w:t>
      </w:r>
      <w:r w:rsidR="00B300E3" w:rsidRPr="00BC3B0C">
        <w:rPr>
          <w:rFonts w:ascii="Arial" w:hAnsi="Arial" w:cs="Arial"/>
          <w:sz w:val="20"/>
          <w:szCs w:val="20"/>
        </w:rPr>
        <w:t xml:space="preserve">dopravci </w:t>
      </w:r>
      <w:r w:rsidR="00B922EC">
        <w:rPr>
          <w:rFonts w:ascii="Arial" w:hAnsi="Arial" w:cs="Arial"/>
          <w:sz w:val="20"/>
          <w:szCs w:val="20"/>
        </w:rPr>
        <w:t>stanovována</w:t>
      </w:r>
      <w:r w:rsidR="00B922EC" w:rsidRPr="00BC3B0C">
        <w:rPr>
          <w:rFonts w:ascii="Arial" w:hAnsi="Arial" w:cs="Arial"/>
          <w:sz w:val="20"/>
          <w:szCs w:val="20"/>
        </w:rPr>
        <w:t xml:space="preserve"> </w:t>
      </w:r>
      <w:r w:rsidR="00BC7D28" w:rsidRPr="00BC3B0C">
        <w:rPr>
          <w:rFonts w:ascii="Arial" w:hAnsi="Arial" w:cs="Arial"/>
          <w:sz w:val="20"/>
          <w:szCs w:val="20"/>
        </w:rPr>
        <w:t>zpětně</w:t>
      </w:r>
      <w:r w:rsidR="00B922EC">
        <w:rPr>
          <w:rFonts w:ascii="Arial" w:hAnsi="Arial" w:cs="Arial"/>
          <w:sz w:val="20"/>
          <w:szCs w:val="20"/>
        </w:rPr>
        <w:t xml:space="preserve"> za příslušné fakturační období podle této smlouvy o dodávkách</w:t>
      </w:r>
      <w:r w:rsidR="00CF2714" w:rsidRPr="00BC3B0C">
        <w:rPr>
          <w:rFonts w:ascii="Arial" w:hAnsi="Arial" w:cs="Arial"/>
          <w:sz w:val="20"/>
          <w:szCs w:val="20"/>
        </w:rPr>
        <w:t xml:space="preserve">. </w:t>
      </w:r>
      <w:r w:rsidR="001E43FF" w:rsidRPr="00BC3B0C">
        <w:rPr>
          <w:rFonts w:ascii="Arial" w:hAnsi="Arial" w:cs="Arial"/>
          <w:sz w:val="20"/>
          <w:szCs w:val="20"/>
        </w:rPr>
        <w:t xml:space="preserve">Spotřeba trakční elektrické energie dopravcem bude za </w:t>
      </w:r>
      <w:r w:rsidR="00B922EC">
        <w:rPr>
          <w:rFonts w:ascii="Arial" w:hAnsi="Arial" w:cs="Arial"/>
          <w:sz w:val="20"/>
          <w:szCs w:val="20"/>
        </w:rPr>
        <w:t xml:space="preserve">příslušné </w:t>
      </w:r>
      <w:r w:rsidRPr="00BC3B0C">
        <w:rPr>
          <w:rFonts w:ascii="Arial" w:hAnsi="Arial" w:cs="Arial"/>
          <w:sz w:val="20"/>
          <w:szCs w:val="20"/>
        </w:rPr>
        <w:t xml:space="preserve">fakturační </w:t>
      </w:r>
      <w:r w:rsidR="001E43FF" w:rsidRPr="00BC3B0C">
        <w:rPr>
          <w:rFonts w:ascii="Arial" w:hAnsi="Arial" w:cs="Arial"/>
          <w:sz w:val="20"/>
          <w:szCs w:val="20"/>
        </w:rPr>
        <w:t>období vyjádřena v</w:t>
      </w:r>
      <w:r w:rsidR="00B922EC">
        <w:rPr>
          <w:rFonts w:ascii="Arial" w:hAnsi="Arial" w:cs="Arial"/>
          <w:sz w:val="20"/>
          <w:szCs w:val="20"/>
        </w:rPr>
        <w:t> jednotkách elektrické energie (práce) – megawatthodin</w:t>
      </w:r>
      <w:r w:rsidR="00482DCA">
        <w:rPr>
          <w:rFonts w:ascii="Arial" w:hAnsi="Arial" w:cs="Arial"/>
          <w:sz w:val="20"/>
          <w:szCs w:val="20"/>
        </w:rPr>
        <w:t>ách</w:t>
      </w:r>
      <w:r w:rsidR="00B922EC">
        <w:rPr>
          <w:rFonts w:ascii="Arial" w:hAnsi="Arial" w:cs="Arial"/>
          <w:sz w:val="20"/>
          <w:szCs w:val="20"/>
        </w:rPr>
        <w:t xml:space="preserve"> (</w:t>
      </w:r>
      <w:proofErr w:type="spellStart"/>
      <w:r w:rsidR="001E43FF" w:rsidRPr="00BC3B0C">
        <w:rPr>
          <w:rFonts w:ascii="Arial" w:hAnsi="Arial" w:cs="Arial"/>
          <w:sz w:val="20"/>
          <w:szCs w:val="20"/>
        </w:rPr>
        <w:t>MWh</w:t>
      </w:r>
      <w:proofErr w:type="spellEnd"/>
      <w:r w:rsidR="00B922EC">
        <w:rPr>
          <w:rFonts w:ascii="Arial" w:hAnsi="Arial" w:cs="Arial"/>
          <w:sz w:val="20"/>
          <w:szCs w:val="20"/>
        </w:rPr>
        <w:t>)</w:t>
      </w:r>
      <w:r w:rsidR="001E43FF" w:rsidRPr="00BC3B0C">
        <w:rPr>
          <w:rFonts w:ascii="Arial" w:hAnsi="Arial" w:cs="Arial"/>
          <w:sz w:val="20"/>
          <w:szCs w:val="20"/>
        </w:rPr>
        <w:t>.</w:t>
      </w:r>
    </w:p>
    <w:p w14:paraId="26FDF6CC" w14:textId="2239E5D7" w:rsidR="00CF2714" w:rsidRPr="00BC3B0C" w:rsidRDefault="003E4F41" w:rsidP="00C27B6F">
      <w:pPr>
        <w:spacing w:after="120"/>
        <w:ind w:left="397" w:hanging="397"/>
        <w:jc w:val="both"/>
        <w:rPr>
          <w:rFonts w:ascii="Arial" w:hAnsi="Arial" w:cs="Arial"/>
          <w:sz w:val="20"/>
          <w:szCs w:val="20"/>
        </w:rPr>
      </w:pPr>
      <w:r w:rsidRPr="00BC3B0C">
        <w:rPr>
          <w:rFonts w:ascii="Arial" w:hAnsi="Arial" w:cs="Arial"/>
          <w:sz w:val="20"/>
          <w:szCs w:val="20"/>
        </w:rPr>
        <w:t>4</w:t>
      </w:r>
      <w:r w:rsidR="00CF2714" w:rsidRPr="00BC3B0C">
        <w:rPr>
          <w:rFonts w:ascii="Arial" w:hAnsi="Arial" w:cs="Arial"/>
          <w:sz w:val="20"/>
          <w:szCs w:val="20"/>
        </w:rPr>
        <w:t xml:space="preserve">. </w:t>
      </w:r>
      <w:r w:rsidR="00CF2714" w:rsidRPr="00BC3B0C">
        <w:rPr>
          <w:rFonts w:ascii="Arial" w:hAnsi="Arial" w:cs="Arial"/>
          <w:sz w:val="20"/>
          <w:szCs w:val="20"/>
        </w:rPr>
        <w:tab/>
      </w:r>
      <w:r w:rsidR="00EF33F5">
        <w:rPr>
          <w:rFonts w:ascii="Arial" w:hAnsi="Arial" w:cs="Arial"/>
          <w:sz w:val="20"/>
          <w:szCs w:val="20"/>
        </w:rPr>
        <w:t>M</w:t>
      </w:r>
      <w:r w:rsidR="00CF2714" w:rsidRPr="00BC3B0C">
        <w:rPr>
          <w:rFonts w:ascii="Arial" w:hAnsi="Arial" w:cs="Arial"/>
          <w:sz w:val="20"/>
          <w:szCs w:val="20"/>
        </w:rPr>
        <w:t>echanismu</w:t>
      </w:r>
      <w:r w:rsidR="00EF33F5">
        <w:rPr>
          <w:rFonts w:ascii="Arial" w:hAnsi="Arial" w:cs="Arial"/>
          <w:sz w:val="20"/>
          <w:szCs w:val="20"/>
        </w:rPr>
        <w:t>s</w:t>
      </w:r>
      <w:r w:rsidR="00CF2714" w:rsidRPr="00BC3B0C">
        <w:rPr>
          <w:rFonts w:ascii="Arial" w:hAnsi="Arial" w:cs="Arial"/>
          <w:sz w:val="20"/>
          <w:szCs w:val="20"/>
        </w:rPr>
        <w:t xml:space="preserve"> </w:t>
      </w:r>
      <w:r w:rsidR="00B922EC">
        <w:rPr>
          <w:rFonts w:ascii="Arial" w:hAnsi="Arial" w:cs="Arial"/>
          <w:sz w:val="20"/>
          <w:szCs w:val="20"/>
        </w:rPr>
        <w:t>stanovení</w:t>
      </w:r>
      <w:r w:rsidR="00B922EC" w:rsidRPr="00BC3B0C">
        <w:rPr>
          <w:rFonts w:ascii="Arial" w:hAnsi="Arial" w:cs="Arial"/>
          <w:sz w:val="20"/>
          <w:szCs w:val="20"/>
        </w:rPr>
        <w:t xml:space="preserve"> </w:t>
      </w:r>
      <w:r w:rsidR="00CF2714" w:rsidRPr="00BC3B0C">
        <w:rPr>
          <w:rFonts w:ascii="Arial" w:hAnsi="Arial" w:cs="Arial"/>
          <w:sz w:val="20"/>
          <w:szCs w:val="20"/>
        </w:rPr>
        <w:t xml:space="preserve">spotřeby trakční elektrické energie dopravcem </w:t>
      </w:r>
      <w:r w:rsidR="00B24FE2" w:rsidRPr="00BC3B0C">
        <w:rPr>
          <w:rFonts w:ascii="Arial" w:hAnsi="Arial" w:cs="Arial"/>
          <w:sz w:val="20"/>
          <w:szCs w:val="20"/>
        </w:rPr>
        <w:t xml:space="preserve">na základě hybridního modelu </w:t>
      </w:r>
      <w:r w:rsidR="00CF2714" w:rsidRPr="00BC3B0C">
        <w:rPr>
          <w:rFonts w:ascii="Arial" w:hAnsi="Arial" w:cs="Arial"/>
          <w:sz w:val="20"/>
          <w:szCs w:val="20"/>
        </w:rPr>
        <w:t>je uveden v příloze č. 1 této smlouvy o dodávkách.</w:t>
      </w:r>
    </w:p>
    <w:p w14:paraId="77F1B617" w14:textId="77777777" w:rsidR="00F02B1F" w:rsidRPr="002377E0" w:rsidRDefault="00F02B1F" w:rsidP="009543B9">
      <w:pPr>
        <w:keepNext/>
        <w:spacing w:before="480" w:after="240"/>
        <w:jc w:val="center"/>
        <w:rPr>
          <w:rFonts w:ascii="Arial" w:hAnsi="Arial" w:cs="Arial"/>
          <w:b/>
          <w:sz w:val="20"/>
          <w:szCs w:val="20"/>
        </w:rPr>
      </w:pPr>
      <w:r w:rsidRPr="002377E0">
        <w:rPr>
          <w:rFonts w:ascii="Arial" w:hAnsi="Arial" w:cs="Arial"/>
          <w:b/>
          <w:spacing w:val="60"/>
          <w:sz w:val="20"/>
          <w:szCs w:val="20"/>
        </w:rPr>
        <w:t xml:space="preserve">Článek </w:t>
      </w:r>
      <w:r w:rsidR="004B49A0" w:rsidRPr="002377E0">
        <w:rPr>
          <w:rFonts w:ascii="Arial" w:hAnsi="Arial" w:cs="Arial"/>
          <w:b/>
          <w:spacing w:val="60"/>
          <w:sz w:val="20"/>
          <w:szCs w:val="20"/>
        </w:rPr>
        <w:t>4</w:t>
      </w:r>
      <w:r w:rsidRPr="002377E0">
        <w:rPr>
          <w:rFonts w:ascii="Arial" w:hAnsi="Arial" w:cs="Arial"/>
          <w:b/>
          <w:spacing w:val="60"/>
          <w:sz w:val="20"/>
          <w:szCs w:val="20"/>
        </w:rPr>
        <w:br/>
      </w:r>
      <w:r w:rsidR="00176FD6" w:rsidRPr="002377E0">
        <w:rPr>
          <w:rFonts w:ascii="Arial" w:hAnsi="Arial" w:cs="Arial"/>
          <w:b/>
          <w:sz w:val="20"/>
          <w:szCs w:val="20"/>
        </w:rPr>
        <w:t>Cena</w:t>
      </w:r>
      <w:r w:rsidR="00E31EF0" w:rsidRPr="002377E0">
        <w:rPr>
          <w:rFonts w:ascii="Arial" w:hAnsi="Arial" w:cs="Arial"/>
          <w:b/>
          <w:sz w:val="20"/>
          <w:szCs w:val="20"/>
        </w:rPr>
        <w:t xml:space="preserve"> </w:t>
      </w:r>
      <w:r w:rsidR="008231AA" w:rsidRPr="002377E0">
        <w:rPr>
          <w:rFonts w:ascii="Arial" w:hAnsi="Arial" w:cs="Arial"/>
          <w:b/>
          <w:sz w:val="20"/>
          <w:szCs w:val="20"/>
        </w:rPr>
        <w:t xml:space="preserve">za </w:t>
      </w:r>
      <w:r w:rsidR="008C2061" w:rsidRPr="002377E0">
        <w:rPr>
          <w:rFonts w:ascii="Arial" w:hAnsi="Arial" w:cs="Arial"/>
          <w:b/>
          <w:sz w:val="20"/>
          <w:szCs w:val="20"/>
        </w:rPr>
        <w:t>trakční elektrickou energii</w:t>
      </w:r>
    </w:p>
    <w:p w14:paraId="0EE38339" w14:textId="2B286A9F" w:rsidR="00C27B7C" w:rsidRPr="00BC3B0C" w:rsidRDefault="00F02B1F" w:rsidP="00C92290">
      <w:pPr>
        <w:spacing w:after="120"/>
        <w:ind w:left="397" w:hanging="397"/>
        <w:jc w:val="both"/>
        <w:rPr>
          <w:rFonts w:ascii="Arial" w:hAnsi="Arial" w:cs="Arial"/>
          <w:sz w:val="20"/>
          <w:szCs w:val="20"/>
        </w:rPr>
      </w:pPr>
      <w:r w:rsidRPr="00BC3B0C">
        <w:rPr>
          <w:rFonts w:ascii="Arial" w:hAnsi="Arial" w:cs="Arial"/>
          <w:sz w:val="20"/>
          <w:szCs w:val="20"/>
        </w:rPr>
        <w:t>1.</w:t>
      </w:r>
      <w:r w:rsidRPr="00BC3B0C">
        <w:rPr>
          <w:rFonts w:ascii="Arial" w:hAnsi="Arial" w:cs="Arial"/>
          <w:sz w:val="20"/>
          <w:szCs w:val="20"/>
        </w:rPr>
        <w:tab/>
      </w:r>
      <w:r w:rsidR="00C27B7C" w:rsidRPr="00BC3B0C">
        <w:rPr>
          <w:rFonts w:ascii="Arial" w:hAnsi="Arial" w:cs="Arial"/>
          <w:sz w:val="20"/>
          <w:szCs w:val="20"/>
        </w:rPr>
        <w:t xml:space="preserve">Cena za jednu </w:t>
      </w:r>
      <w:r w:rsidR="001E43FF" w:rsidRPr="00BC3B0C">
        <w:rPr>
          <w:rFonts w:ascii="Arial" w:hAnsi="Arial" w:cs="Arial"/>
          <w:sz w:val="20"/>
          <w:szCs w:val="20"/>
        </w:rPr>
        <w:t xml:space="preserve">(1) </w:t>
      </w:r>
      <w:r w:rsidR="00482DCA">
        <w:rPr>
          <w:rFonts w:ascii="Arial" w:hAnsi="Arial" w:cs="Arial"/>
          <w:sz w:val="20"/>
          <w:szCs w:val="20"/>
        </w:rPr>
        <w:t>megawatthodinu (</w:t>
      </w:r>
      <w:proofErr w:type="spellStart"/>
      <w:r w:rsidR="001E43FF" w:rsidRPr="00BC3B0C">
        <w:rPr>
          <w:rFonts w:ascii="Arial" w:hAnsi="Arial" w:cs="Arial"/>
          <w:sz w:val="20"/>
          <w:szCs w:val="20"/>
        </w:rPr>
        <w:t>MWh</w:t>
      </w:r>
      <w:proofErr w:type="spellEnd"/>
      <w:r w:rsidR="00482DCA">
        <w:rPr>
          <w:rFonts w:ascii="Arial" w:hAnsi="Arial" w:cs="Arial"/>
          <w:sz w:val="20"/>
          <w:szCs w:val="20"/>
        </w:rPr>
        <w:t>)</w:t>
      </w:r>
      <w:r w:rsidR="001E43FF" w:rsidRPr="00BC3B0C">
        <w:rPr>
          <w:rFonts w:ascii="Arial" w:hAnsi="Arial" w:cs="Arial"/>
          <w:sz w:val="20"/>
          <w:szCs w:val="20"/>
        </w:rPr>
        <w:t xml:space="preserve"> </w:t>
      </w:r>
      <w:r w:rsidR="00E31EF0" w:rsidRPr="00BC3B0C">
        <w:rPr>
          <w:rFonts w:ascii="Arial" w:hAnsi="Arial" w:cs="Arial"/>
          <w:sz w:val="20"/>
          <w:szCs w:val="20"/>
        </w:rPr>
        <w:t xml:space="preserve">trakční elektrické energie </w:t>
      </w:r>
      <w:r w:rsidR="00C27B7C" w:rsidRPr="00BC3B0C">
        <w:rPr>
          <w:rFonts w:ascii="Arial" w:hAnsi="Arial" w:cs="Arial"/>
          <w:sz w:val="20"/>
          <w:szCs w:val="20"/>
        </w:rPr>
        <w:t xml:space="preserve">činí pro rok </w:t>
      </w:r>
      <w:r w:rsidR="004C25AD">
        <w:rPr>
          <w:rFonts w:ascii="Arial" w:hAnsi="Arial" w:cs="Arial"/>
          <w:sz w:val="20"/>
          <w:szCs w:val="20"/>
        </w:rPr>
        <w:t>[</w:t>
      </w:r>
      <w:r w:rsidR="004C25AD" w:rsidRPr="00C038BE">
        <w:rPr>
          <w:rFonts w:ascii="Arial" w:hAnsi="Arial" w:cs="Arial"/>
          <w:sz w:val="20"/>
          <w:szCs w:val="20"/>
          <w:highlight w:val="yellow"/>
        </w:rPr>
        <w:t>bude doplněn rok účinnost</w:t>
      </w:r>
      <w:r w:rsidR="004C25AD">
        <w:rPr>
          <w:rFonts w:ascii="Arial" w:hAnsi="Arial" w:cs="Arial"/>
          <w:sz w:val="20"/>
          <w:szCs w:val="20"/>
          <w:highlight w:val="yellow"/>
        </w:rPr>
        <w:t>i</w:t>
      </w:r>
      <w:r w:rsidR="004C25AD" w:rsidRPr="00C038BE">
        <w:rPr>
          <w:rFonts w:ascii="Arial" w:hAnsi="Arial" w:cs="Arial"/>
          <w:sz w:val="20"/>
          <w:szCs w:val="20"/>
          <w:highlight w:val="yellow"/>
        </w:rPr>
        <w:t xml:space="preserve"> této smlouvy o dodávkách</w:t>
      </w:r>
      <w:r w:rsidR="004C25AD">
        <w:rPr>
          <w:rFonts w:ascii="Arial" w:hAnsi="Arial" w:cs="Arial"/>
          <w:sz w:val="20"/>
          <w:szCs w:val="20"/>
        </w:rPr>
        <w:t>]</w:t>
      </w:r>
      <w:r w:rsidR="00C27B7C" w:rsidRPr="00BC3B0C">
        <w:rPr>
          <w:rFonts w:ascii="Arial" w:hAnsi="Arial" w:cs="Arial"/>
          <w:sz w:val="20"/>
          <w:szCs w:val="20"/>
        </w:rPr>
        <w:t xml:space="preserve"> částku </w:t>
      </w:r>
      <w:r w:rsidR="001E43FF" w:rsidRPr="00BC3B0C">
        <w:rPr>
          <w:rFonts w:ascii="Arial" w:hAnsi="Arial" w:cs="Arial"/>
          <w:sz w:val="20"/>
          <w:szCs w:val="20"/>
        </w:rPr>
        <w:t xml:space="preserve">ve výši </w:t>
      </w:r>
      <w:r w:rsidR="00C038BE" w:rsidRPr="00D42511">
        <w:rPr>
          <w:rFonts w:ascii="Arial" w:hAnsi="Arial" w:cs="Arial"/>
          <w:b/>
          <w:bCs/>
          <w:sz w:val="20"/>
          <w:szCs w:val="20"/>
        </w:rPr>
        <w:t>[</w:t>
      </w:r>
      <w:r w:rsidR="00C038BE" w:rsidRPr="00D42511">
        <w:rPr>
          <w:rFonts w:ascii="Arial" w:hAnsi="Arial" w:cs="Arial"/>
          <w:b/>
          <w:bCs/>
          <w:sz w:val="20"/>
          <w:szCs w:val="20"/>
          <w:highlight w:val="yellow"/>
        </w:rPr>
        <w:t>bude doplněno</w:t>
      </w:r>
      <w:r w:rsidR="00C038BE" w:rsidRPr="00D42511">
        <w:rPr>
          <w:rFonts w:ascii="Arial" w:hAnsi="Arial" w:cs="Arial"/>
          <w:b/>
          <w:bCs/>
          <w:sz w:val="20"/>
          <w:szCs w:val="20"/>
        </w:rPr>
        <w:t>]</w:t>
      </w:r>
      <w:r w:rsidR="00E30468" w:rsidRPr="00E30468">
        <w:rPr>
          <w:rFonts w:ascii="Arial" w:hAnsi="Arial" w:cs="Arial"/>
          <w:b/>
          <w:sz w:val="20"/>
          <w:szCs w:val="20"/>
        </w:rPr>
        <w:t xml:space="preserve"> Kč/</w:t>
      </w:r>
      <w:r w:rsidR="00E30468">
        <w:rPr>
          <w:rFonts w:ascii="Arial" w:hAnsi="Arial" w:cs="Arial"/>
          <w:b/>
          <w:sz w:val="20"/>
          <w:szCs w:val="20"/>
        </w:rPr>
        <w:t xml:space="preserve"> </w:t>
      </w:r>
      <w:proofErr w:type="spellStart"/>
      <w:r w:rsidR="00E30468" w:rsidRPr="00E30468">
        <w:rPr>
          <w:rFonts w:ascii="Arial" w:hAnsi="Arial" w:cs="Arial"/>
          <w:b/>
          <w:sz w:val="20"/>
          <w:szCs w:val="20"/>
        </w:rPr>
        <w:t>MWh</w:t>
      </w:r>
      <w:proofErr w:type="spellEnd"/>
      <w:r w:rsidR="001E43FF" w:rsidRPr="00BC3B0C">
        <w:rPr>
          <w:rFonts w:ascii="Arial" w:hAnsi="Arial" w:cs="Arial"/>
          <w:sz w:val="20"/>
          <w:szCs w:val="20"/>
        </w:rPr>
        <w:t xml:space="preserve"> bez DPH.</w:t>
      </w:r>
      <w:r w:rsidR="002F2BEF">
        <w:rPr>
          <w:rFonts w:ascii="Arial" w:hAnsi="Arial" w:cs="Arial"/>
          <w:sz w:val="20"/>
          <w:szCs w:val="20"/>
        </w:rPr>
        <w:t xml:space="preserve"> </w:t>
      </w:r>
      <w:r w:rsidR="002F2BEF" w:rsidRPr="002F2BEF">
        <w:rPr>
          <w:rFonts w:ascii="Arial" w:hAnsi="Arial" w:cs="Arial"/>
          <w:sz w:val="20"/>
          <w:szCs w:val="20"/>
        </w:rPr>
        <w:t>Smluvní strany sjednaly, že cena za jednu (1) megawatthodinu (</w:t>
      </w:r>
      <w:proofErr w:type="spellStart"/>
      <w:r w:rsidR="002F2BEF" w:rsidRPr="002F2BEF">
        <w:rPr>
          <w:rFonts w:ascii="Arial" w:hAnsi="Arial" w:cs="Arial"/>
          <w:sz w:val="20"/>
          <w:szCs w:val="20"/>
        </w:rPr>
        <w:t>MWh</w:t>
      </w:r>
      <w:proofErr w:type="spellEnd"/>
      <w:r w:rsidR="002F2BEF" w:rsidRPr="002F2BEF">
        <w:rPr>
          <w:rFonts w:ascii="Arial" w:hAnsi="Arial" w:cs="Arial"/>
          <w:sz w:val="20"/>
          <w:szCs w:val="20"/>
        </w:rPr>
        <w:t>) trakční elektrické energie musí pro každý rok účinnosti této smlouvy o</w:t>
      </w:r>
      <w:r w:rsidR="00C038BE">
        <w:rPr>
          <w:rFonts w:ascii="Arial" w:hAnsi="Arial" w:cs="Arial"/>
          <w:sz w:val="20"/>
          <w:szCs w:val="20"/>
        </w:rPr>
        <w:t> </w:t>
      </w:r>
      <w:r w:rsidR="002F2BEF" w:rsidRPr="002F2BEF">
        <w:rPr>
          <w:rFonts w:ascii="Arial" w:hAnsi="Arial" w:cs="Arial"/>
          <w:sz w:val="20"/>
          <w:szCs w:val="20"/>
        </w:rPr>
        <w:t>dodávkách vždy odpovídat tržní výši této ceny zjištěné způsobem uvedeným v</w:t>
      </w:r>
      <w:r w:rsidR="00D42511">
        <w:rPr>
          <w:rFonts w:ascii="Arial" w:hAnsi="Arial" w:cs="Arial"/>
          <w:sz w:val="20"/>
          <w:szCs w:val="20"/>
        </w:rPr>
        <w:t> </w:t>
      </w:r>
      <w:r w:rsidR="002F2BEF" w:rsidRPr="002F2BEF">
        <w:rPr>
          <w:rFonts w:ascii="Arial" w:hAnsi="Arial" w:cs="Arial"/>
          <w:sz w:val="20"/>
          <w:szCs w:val="20"/>
        </w:rPr>
        <w:t>této smlouvě o</w:t>
      </w:r>
      <w:r w:rsidR="00C038BE">
        <w:rPr>
          <w:rFonts w:ascii="Arial" w:hAnsi="Arial" w:cs="Arial"/>
          <w:sz w:val="20"/>
          <w:szCs w:val="20"/>
        </w:rPr>
        <w:t> </w:t>
      </w:r>
      <w:r w:rsidR="002F2BEF" w:rsidRPr="002F2BEF">
        <w:rPr>
          <w:rFonts w:ascii="Arial" w:hAnsi="Arial" w:cs="Arial"/>
          <w:sz w:val="20"/>
          <w:szCs w:val="20"/>
        </w:rPr>
        <w:t>dodávkách. O výsledné tržní ceně za jednu (1) megawatthodinu (</w:t>
      </w:r>
      <w:proofErr w:type="spellStart"/>
      <w:r w:rsidR="002F2BEF" w:rsidRPr="002F2BEF">
        <w:rPr>
          <w:rFonts w:ascii="Arial" w:hAnsi="Arial" w:cs="Arial"/>
          <w:sz w:val="20"/>
          <w:szCs w:val="20"/>
        </w:rPr>
        <w:t>MWh</w:t>
      </w:r>
      <w:proofErr w:type="spellEnd"/>
      <w:r w:rsidR="002F2BEF" w:rsidRPr="002F2BEF">
        <w:rPr>
          <w:rFonts w:ascii="Arial" w:hAnsi="Arial" w:cs="Arial"/>
          <w:sz w:val="20"/>
          <w:szCs w:val="20"/>
        </w:rPr>
        <w:t xml:space="preserve">) trakční elektrické </w:t>
      </w:r>
      <w:r w:rsidR="002F2BEF" w:rsidRPr="002F2BEF">
        <w:rPr>
          <w:rFonts w:ascii="Arial" w:hAnsi="Arial" w:cs="Arial"/>
          <w:sz w:val="20"/>
          <w:szCs w:val="20"/>
        </w:rPr>
        <w:lastRenderedPageBreak/>
        <w:t>energie platné pro každý rok účinnosti této Smlouvy o dodávkách bude dopravce informován způsobem dle článku 5 odst. 11 této smlouvy o dodávkách.</w:t>
      </w:r>
    </w:p>
    <w:p w14:paraId="492DE6B7" w14:textId="223331DD" w:rsidR="00C92290" w:rsidRDefault="00C27B7C" w:rsidP="00C92290">
      <w:pPr>
        <w:spacing w:after="120"/>
        <w:ind w:left="397" w:hanging="397"/>
        <w:jc w:val="both"/>
        <w:rPr>
          <w:rFonts w:ascii="Arial" w:hAnsi="Arial" w:cs="Arial"/>
          <w:sz w:val="20"/>
          <w:szCs w:val="20"/>
        </w:rPr>
      </w:pPr>
      <w:r w:rsidRPr="00BC3B0C">
        <w:rPr>
          <w:rFonts w:ascii="Arial" w:hAnsi="Arial" w:cs="Arial"/>
          <w:sz w:val="20"/>
          <w:szCs w:val="20"/>
        </w:rPr>
        <w:t>2.</w:t>
      </w:r>
      <w:r w:rsidRPr="00BC3B0C">
        <w:rPr>
          <w:rFonts w:ascii="Arial" w:hAnsi="Arial" w:cs="Arial"/>
          <w:sz w:val="20"/>
          <w:szCs w:val="20"/>
        </w:rPr>
        <w:tab/>
        <w:t xml:space="preserve">Dopravce se zavazuje hradit provozovateli za příslušné </w:t>
      </w:r>
      <w:r w:rsidR="00482DCA">
        <w:rPr>
          <w:rFonts w:ascii="Arial" w:hAnsi="Arial" w:cs="Arial"/>
          <w:sz w:val="20"/>
          <w:szCs w:val="20"/>
        </w:rPr>
        <w:t xml:space="preserve">fakturační </w:t>
      </w:r>
      <w:r w:rsidRPr="00BC3B0C">
        <w:rPr>
          <w:rFonts w:ascii="Arial" w:hAnsi="Arial" w:cs="Arial"/>
          <w:sz w:val="20"/>
          <w:szCs w:val="20"/>
        </w:rPr>
        <w:t xml:space="preserve">období cenu za spotřebu trakční elektrické energie. Smluvní strany se dohodly, že cena za spotřebu trakční elektrické </w:t>
      </w:r>
      <w:r w:rsidR="00E36A8A">
        <w:rPr>
          <w:rFonts w:ascii="Arial" w:hAnsi="Arial" w:cs="Arial"/>
          <w:sz w:val="20"/>
          <w:szCs w:val="20"/>
        </w:rPr>
        <w:t xml:space="preserve">energie </w:t>
      </w:r>
      <w:r w:rsidRPr="00BC3B0C">
        <w:rPr>
          <w:rFonts w:ascii="Arial" w:hAnsi="Arial" w:cs="Arial"/>
          <w:sz w:val="20"/>
          <w:szCs w:val="20"/>
        </w:rPr>
        <w:t xml:space="preserve">se </w:t>
      </w:r>
      <w:r w:rsidR="00482DCA">
        <w:rPr>
          <w:rFonts w:ascii="Arial" w:hAnsi="Arial" w:cs="Arial"/>
          <w:sz w:val="20"/>
          <w:szCs w:val="20"/>
        </w:rPr>
        <w:t xml:space="preserve">vypočítá </w:t>
      </w:r>
      <w:r w:rsidR="0036761F" w:rsidRPr="00BC3B0C">
        <w:rPr>
          <w:rFonts w:ascii="Arial" w:hAnsi="Arial" w:cs="Arial"/>
          <w:sz w:val="20"/>
          <w:szCs w:val="20"/>
        </w:rPr>
        <w:t xml:space="preserve">součinem ceny </w:t>
      </w:r>
      <w:r w:rsidR="00A2183D" w:rsidRPr="00BC3B0C">
        <w:rPr>
          <w:rFonts w:ascii="Arial" w:hAnsi="Arial" w:cs="Arial"/>
          <w:sz w:val="20"/>
          <w:szCs w:val="20"/>
        </w:rPr>
        <w:t>za jedn</w:t>
      </w:r>
      <w:r w:rsidRPr="00BC3B0C">
        <w:rPr>
          <w:rFonts w:ascii="Arial" w:hAnsi="Arial" w:cs="Arial"/>
          <w:sz w:val="20"/>
          <w:szCs w:val="20"/>
        </w:rPr>
        <w:t>u</w:t>
      </w:r>
      <w:r w:rsidR="00A2183D" w:rsidRPr="00BC3B0C">
        <w:rPr>
          <w:rFonts w:ascii="Arial" w:hAnsi="Arial" w:cs="Arial"/>
          <w:sz w:val="20"/>
          <w:szCs w:val="20"/>
        </w:rPr>
        <w:t xml:space="preserve"> (1) </w:t>
      </w:r>
      <w:r w:rsidR="00482DCA">
        <w:rPr>
          <w:rFonts w:ascii="Arial" w:hAnsi="Arial" w:cs="Arial"/>
          <w:sz w:val="20"/>
          <w:szCs w:val="20"/>
        </w:rPr>
        <w:t>megawatthodinu (</w:t>
      </w:r>
      <w:proofErr w:type="spellStart"/>
      <w:r w:rsidR="00A2183D" w:rsidRPr="00BC3B0C">
        <w:rPr>
          <w:rFonts w:ascii="Arial" w:hAnsi="Arial" w:cs="Arial"/>
          <w:sz w:val="20"/>
          <w:szCs w:val="20"/>
        </w:rPr>
        <w:t>MWh</w:t>
      </w:r>
      <w:proofErr w:type="spellEnd"/>
      <w:r w:rsidR="00482DCA">
        <w:rPr>
          <w:rFonts w:ascii="Arial" w:hAnsi="Arial" w:cs="Arial"/>
          <w:sz w:val="20"/>
          <w:szCs w:val="20"/>
        </w:rPr>
        <w:t>)</w:t>
      </w:r>
      <w:r w:rsidR="00A2183D" w:rsidRPr="00BC3B0C">
        <w:rPr>
          <w:rFonts w:ascii="Arial" w:hAnsi="Arial" w:cs="Arial"/>
          <w:sz w:val="20"/>
          <w:szCs w:val="20"/>
        </w:rPr>
        <w:t xml:space="preserve"> trakční elektrické energie</w:t>
      </w:r>
      <w:r w:rsidR="00A5793D">
        <w:rPr>
          <w:rFonts w:ascii="Arial" w:hAnsi="Arial" w:cs="Arial"/>
          <w:sz w:val="20"/>
          <w:szCs w:val="20"/>
        </w:rPr>
        <w:t xml:space="preserve"> dle předchozího bodu</w:t>
      </w:r>
      <w:r w:rsidR="00A2183D" w:rsidRPr="00BC3B0C">
        <w:rPr>
          <w:rFonts w:ascii="Arial" w:hAnsi="Arial" w:cs="Arial"/>
          <w:sz w:val="20"/>
          <w:szCs w:val="20"/>
        </w:rPr>
        <w:t xml:space="preserve"> </w:t>
      </w:r>
      <w:r w:rsidR="00A5793D" w:rsidRPr="00BC3B0C">
        <w:rPr>
          <w:rFonts w:ascii="Arial" w:hAnsi="Arial" w:cs="Arial"/>
          <w:sz w:val="20"/>
          <w:szCs w:val="20"/>
        </w:rPr>
        <w:t>a</w:t>
      </w:r>
      <w:r w:rsidR="00A5793D">
        <w:rPr>
          <w:rFonts w:ascii="Arial" w:hAnsi="Arial" w:cs="Arial"/>
          <w:sz w:val="20"/>
          <w:szCs w:val="20"/>
        </w:rPr>
        <w:t> </w:t>
      </w:r>
      <w:r w:rsidR="0036761F" w:rsidRPr="00BC3B0C">
        <w:rPr>
          <w:rFonts w:ascii="Arial" w:hAnsi="Arial" w:cs="Arial"/>
          <w:sz w:val="20"/>
          <w:szCs w:val="20"/>
        </w:rPr>
        <w:t>spotřeb</w:t>
      </w:r>
      <w:r w:rsidR="00A54CA2">
        <w:rPr>
          <w:rFonts w:ascii="Arial" w:hAnsi="Arial" w:cs="Arial"/>
          <w:sz w:val="20"/>
          <w:szCs w:val="20"/>
        </w:rPr>
        <w:t>y</w:t>
      </w:r>
      <w:r w:rsidR="0036761F" w:rsidRPr="00BC3B0C">
        <w:rPr>
          <w:rFonts w:ascii="Arial" w:hAnsi="Arial" w:cs="Arial"/>
          <w:sz w:val="20"/>
          <w:szCs w:val="20"/>
        </w:rPr>
        <w:t xml:space="preserve"> trakční elektrické energie dopravcem </w:t>
      </w:r>
      <w:r w:rsidR="00791331">
        <w:rPr>
          <w:rFonts w:ascii="Arial" w:hAnsi="Arial" w:cs="Arial"/>
          <w:sz w:val="20"/>
          <w:szCs w:val="20"/>
        </w:rPr>
        <w:t xml:space="preserve">stanovené za příslušné fakturační období </w:t>
      </w:r>
      <w:r w:rsidR="00A2183D" w:rsidRPr="00BC3B0C">
        <w:rPr>
          <w:rFonts w:ascii="Arial" w:hAnsi="Arial" w:cs="Arial"/>
          <w:sz w:val="20"/>
          <w:szCs w:val="20"/>
        </w:rPr>
        <w:t xml:space="preserve">dle článku 3 </w:t>
      </w:r>
      <w:proofErr w:type="gramStart"/>
      <w:r w:rsidR="00A2183D" w:rsidRPr="00BC3B0C">
        <w:rPr>
          <w:rFonts w:ascii="Arial" w:hAnsi="Arial" w:cs="Arial"/>
          <w:sz w:val="20"/>
          <w:szCs w:val="20"/>
        </w:rPr>
        <w:t>této</w:t>
      </w:r>
      <w:proofErr w:type="gramEnd"/>
      <w:r w:rsidR="00A2183D" w:rsidRPr="00BC3B0C">
        <w:rPr>
          <w:rFonts w:ascii="Arial" w:hAnsi="Arial" w:cs="Arial"/>
          <w:sz w:val="20"/>
          <w:szCs w:val="20"/>
        </w:rPr>
        <w:t xml:space="preserve"> smlouvy o dodávkách</w:t>
      </w:r>
      <w:r w:rsidR="00FF6219" w:rsidRPr="00BC3B0C">
        <w:rPr>
          <w:rFonts w:ascii="Arial" w:hAnsi="Arial" w:cs="Arial"/>
          <w:sz w:val="20"/>
          <w:szCs w:val="20"/>
        </w:rPr>
        <w:t xml:space="preserve"> (dále jen „</w:t>
      </w:r>
      <w:r w:rsidR="00FF6219" w:rsidRPr="002965E2">
        <w:rPr>
          <w:rFonts w:ascii="Arial" w:hAnsi="Arial" w:cs="Arial"/>
          <w:b/>
          <w:sz w:val="20"/>
          <w:szCs w:val="20"/>
        </w:rPr>
        <w:t>cena za komoditu</w:t>
      </w:r>
      <w:r w:rsidR="00FF6219" w:rsidRPr="00BC3B0C">
        <w:rPr>
          <w:rFonts w:ascii="Arial" w:hAnsi="Arial" w:cs="Arial"/>
          <w:sz w:val="20"/>
          <w:szCs w:val="20"/>
        </w:rPr>
        <w:t>“).</w:t>
      </w:r>
    </w:p>
    <w:p w14:paraId="1512BC1B" w14:textId="23CDAA0A" w:rsidR="00482DCA" w:rsidRPr="00646DC7" w:rsidRDefault="00482DCA" w:rsidP="00646DC7">
      <w:pPr>
        <w:spacing w:after="120"/>
        <w:ind w:left="397" w:hanging="397"/>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646DC7">
        <w:rPr>
          <w:rFonts w:ascii="Arial" w:hAnsi="Arial" w:cs="Arial"/>
          <w:sz w:val="20"/>
          <w:szCs w:val="20"/>
        </w:rPr>
        <w:t xml:space="preserve">Provozovatel zajistí pro dodávanou </w:t>
      </w:r>
      <w:r w:rsidR="00C732BD">
        <w:rPr>
          <w:rFonts w:ascii="Arial" w:hAnsi="Arial" w:cs="Arial"/>
          <w:sz w:val="20"/>
          <w:szCs w:val="20"/>
        </w:rPr>
        <w:t>trakční elektrickou energi</w:t>
      </w:r>
      <w:r w:rsidR="00051609">
        <w:rPr>
          <w:rFonts w:ascii="Arial" w:hAnsi="Arial" w:cs="Arial"/>
          <w:sz w:val="20"/>
          <w:szCs w:val="20"/>
        </w:rPr>
        <w:t>i</w:t>
      </w:r>
      <w:r w:rsidR="00C732BD">
        <w:rPr>
          <w:rFonts w:ascii="Arial" w:hAnsi="Arial" w:cs="Arial"/>
          <w:sz w:val="20"/>
          <w:szCs w:val="20"/>
        </w:rPr>
        <w:t xml:space="preserve"> </w:t>
      </w:r>
      <w:r w:rsidR="005170D1">
        <w:rPr>
          <w:rFonts w:ascii="Arial" w:hAnsi="Arial" w:cs="Arial"/>
          <w:sz w:val="20"/>
          <w:szCs w:val="20"/>
        </w:rPr>
        <w:t xml:space="preserve">v každém roce účinnosti této smlouvy o dodávkách </w:t>
      </w:r>
      <w:r w:rsidRPr="00646DC7">
        <w:rPr>
          <w:rFonts w:ascii="Arial" w:hAnsi="Arial" w:cs="Arial"/>
          <w:sz w:val="20"/>
          <w:szCs w:val="20"/>
        </w:rPr>
        <w:t>osvobození od daně z elektřiny ve smyslu zákona č. 261/2007 Sb., o stabilizaci veřejných rozpočtů</w:t>
      </w:r>
      <w:r w:rsidR="00F16426">
        <w:rPr>
          <w:rFonts w:ascii="Arial" w:hAnsi="Arial" w:cs="Arial"/>
          <w:sz w:val="20"/>
          <w:szCs w:val="20"/>
        </w:rPr>
        <w:t>,</w:t>
      </w:r>
      <w:r w:rsidRPr="00646DC7">
        <w:rPr>
          <w:rFonts w:ascii="Arial" w:hAnsi="Arial" w:cs="Arial"/>
          <w:sz w:val="20"/>
          <w:szCs w:val="20"/>
        </w:rPr>
        <w:t xml:space="preserve"> v platném znění.</w:t>
      </w:r>
    </w:p>
    <w:p w14:paraId="00F8DF7D" w14:textId="795256CC" w:rsidR="008231AA" w:rsidRDefault="00482DCA" w:rsidP="008231AA">
      <w:pPr>
        <w:spacing w:after="120"/>
        <w:ind w:left="397" w:hanging="397"/>
        <w:jc w:val="both"/>
        <w:rPr>
          <w:rFonts w:ascii="Arial" w:hAnsi="Arial" w:cs="Arial"/>
          <w:sz w:val="20"/>
          <w:szCs w:val="20"/>
        </w:rPr>
      </w:pPr>
      <w:r>
        <w:rPr>
          <w:rFonts w:ascii="Arial" w:hAnsi="Arial" w:cs="Arial"/>
          <w:sz w:val="20"/>
          <w:szCs w:val="20"/>
        </w:rPr>
        <w:t>4</w:t>
      </w:r>
      <w:r w:rsidR="00A95CD4" w:rsidRPr="00BC3B0C">
        <w:rPr>
          <w:rFonts w:ascii="Arial" w:hAnsi="Arial" w:cs="Arial"/>
          <w:sz w:val="20"/>
          <w:szCs w:val="20"/>
        </w:rPr>
        <w:t>.</w:t>
      </w:r>
      <w:r w:rsidR="00A95CD4" w:rsidRPr="00BC3B0C">
        <w:rPr>
          <w:rFonts w:ascii="Arial" w:hAnsi="Arial" w:cs="Arial"/>
          <w:sz w:val="20"/>
          <w:szCs w:val="20"/>
        </w:rPr>
        <w:tab/>
      </w:r>
      <w:r w:rsidR="008231AA" w:rsidRPr="00BC3B0C">
        <w:rPr>
          <w:rFonts w:ascii="Arial" w:hAnsi="Arial" w:cs="Arial"/>
          <w:sz w:val="20"/>
          <w:szCs w:val="20"/>
        </w:rPr>
        <w:t>Nedohodnou-li se smluvní strany jinak, bere d</w:t>
      </w:r>
      <w:r w:rsidR="00A95CD4" w:rsidRPr="00BC3B0C">
        <w:rPr>
          <w:rFonts w:ascii="Arial" w:hAnsi="Arial" w:cs="Arial"/>
          <w:sz w:val="20"/>
          <w:szCs w:val="20"/>
        </w:rPr>
        <w:t>opravce tímto na vědomí</w:t>
      </w:r>
      <w:r w:rsidR="008231AA" w:rsidRPr="00BC3B0C">
        <w:rPr>
          <w:rFonts w:ascii="Arial" w:hAnsi="Arial" w:cs="Arial"/>
          <w:sz w:val="20"/>
          <w:szCs w:val="20"/>
        </w:rPr>
        <w:t xml:space="preserve"> a podpisem této smlouvy o dodávkách souhlasí s tím, </w:t>
      </w:r>
      <w:r w:rsidR="00C27B7C" w:rsidRPr="00BC3B0C">
        <w:rPr>
          <w:rFonts w:ascii="Arial" w:hAnsi="Arial" w:cs="Arial"/>
          <w:sz w:val="20"/>
          <w:szCs w:val="20"/>
        </w:rPr>
        <w:t>že</w:t>
      </w:r>
      <w:r w:rsidR="008231AA" w:rsidRPr="00BC3B0C">
        <w:rPr>
          <w:rFonts w:ascii="Arial" w:hAnsi="Arial" w:cs="Arial"/>
          <w:sz w:val="20"/>
          <w:szCs w:val="20"/>
        </w:rPr>
        <w:t xml:space="preserve"> provozovatel </w:t>
      </w:r>
      <w:r w:rsidR="00C27B7C" w:rsidRPr="00BC3B0C">
        <w:rPr>
          <w:rFonts w:ascii="Arial" w:hAnsi="Arial" w:cs="Arial"/>
          <w:sz w:val="20"/>
          <w:szCs w:val="20"/>
        </w:rPr>
        <w:t xml:space="preserve">bude </w:t>
      </w:r>
      <w:r w:rsidR="006F67B7" w:rsidRPr="00BC3B0C">
        <w:rPr>
          <w:rFonts w:ascii="Arial" w:hAnsi="Arial" w:cs="Arial"/>
          <w:sz w:val="20"/>
          <w:szCs w:val="20"/>
        </w:rPr>
        <w:t xml:space="preserve">pro roky následující </w:t>
      </w:r>
      <w:r w:rsidR="00C27B7C" w:rsidRPr="00BC3B0C">
        <w:rPr>
          <w:rFonts w:ascii="Arial" w:hAnsi="Arial" w:cs="Arial"/>
          <w:sz w:val="20"/>
          <w:szCs w:val="20"/>
        </w:rPr>
        <w:t xml:space="preserve">po </w:t>
      </w:r>
      <w:r w:rsidR="006F67B7" w:rsidRPr="00BC3B0C">
        <w:rPr>
          <w:rFonts w:ascii="Arial" w:hAnsi="Arial" w:cs="Arial"/>
          <w:sz w:val="20"/>
          <w:szCs w:val="20"/>
        </w:rPr>
        <w:t xml:space="preserve">roce nabytí </w:t>
      </w:r>
      <w:r w:rsidR="008231AA" w:rsidRPr="00BC3B0C">
        <w:rPr>
          <w:rFonts w:ascii="Arial" w:hAnsi="Arial" w:cs="Arial"/>
          <w:sz w:val="20"/>
          <w:szCs w:val="20"/>
        </w:rPr>
        <w:t>účinnosti této smlouvy o</w:t>
      </w:r>
      <w:r w:rsidR="006F67B7" w:rsidRPr="00BC3B0C">
        <w:rPr>
          <w:rFonts w:ascii="Arial" w:hAnsi="Arial" w:cs="Arial"/>
          <w:sz w:val="20"/>
          <w:szCs w:val="20"/>
        </w:rPr>
        <w:t> </w:t>
      </w:r>
      <w:r w:rsidR="008231AA" w:rsidRPr="00BC3B0C">
        <w:rPr>
          <w:rFonts w:ascii="Arial" w:hAnsi="Arial" w:cs="Arial"/>
          <w:sz w:val="20"/>
          <w:szCs w:val="20"/>
        </w:rPr>
        <w:t>dodávkách zjišťova</w:t>
      </w:r>
      <w:r w:rsidR="00C27B7C" w:rsidRPr="00BC3B0C">
        <w:rPr>
          <w:rFonts w:ascii="Arial" w:hAnsi="Arial" w:cs="Arial"/>
          <w:sz w:val="20"/>
          <w:szCs w:val="20"/>
        </w:rPr>
        <w:t>t</w:t>
      </w:r>
      <w:r w:rsidR="008231AA" w:rsidRPr="00BC3B0C">
        <w:rPr>
          <w:rFonts w:ascii="Arial" w:hAnsi="Arial" w:cs="Arial"/>
          <w:sz w:val="20"/>
          <w:szCs w:val="20"/>
        </w:rPr>
        <w:t xml:space="preserve"> cenu za jedn</w:t>
      </w:r>
      <w:r w:rsidR="006F67B7" w:rsidRPr="00BC3B0C">
        <w:rPr>
          <w:rFonts w:ascii="Arial" w:hAnsi="Arial" w:cs="Arial"/>
          <w:sz w:val="20"/>
          <w:szCs w:val="20"/>
        </w:rPr>
        <w:t>u</w:t>
      </w:r>
      <w:r w:rsidR="008231AA" w:rsidRPr="00BC3B0C">
        <w:rPr>
          <w:rFonts w:ascii="Arial" w:hAnsi="Arial" w:cs="Arial"/>
          <w:sz w:val="20"/>
          <w:szCs w:val="20"/>
        </w:rPr>
        <w:t xml:space="preserve"> (1) </w:t>
      </w:r>
      <w:r w:rsidR="00F16426">
        <w:rPr>
          <w:rFonts w:ascii="Arial" w:hAnsi="Arial" w:cs="Arial"/>
          <w:sz w:val="20"/>
          <w:szCs w:val="20"/>
        </w:rPr>
        <w:t>megawatthodinu (</w:t>
      </w:r>
      <w:proofErr w:type="spellStart"/>
      <w:r w:rsidR="008231AA" w:rsidRPr="00BC3B0C">
        <w:rPr>
          <w:rFonts w:ascii="Arial" w:hAnsi="Arial" w:cs="Arial"/>
          <w:sz w:val="20"/>
          <w:szCs w:val="20"/>
        </w:rPr>
        <w:t>MWh</w:t>
      </w:r>
      <w:proofErr w:type="spellEnd"/>
      <w:r w:rsidR="00F16426">
        <w:rPr>
          <w:rFonts w:ascii="Arial" w:hAnsi="Arial" w:cs="Arial"/>
          <w:sz w:val="20"/>
          <w:szCs w:val="20"/>
        </w:rPr>
        <w:t>)</w:t>
      </w:r>
      <w:r w:rsidR="008231AA" w:rsidRPr="00BC3B0C">
        <w:rPr>
          <w:rFonts w:ascii="Arial" w:hAnsi="Arial" w:cs="Arial"/>
          <w:sz w:val="20"/>
          <w:szCs w:val="20"/>
        </w:rPr>
        <w:t xml:space="preserve"> trakční elektrické energie způsobem</w:t>
      </w:r>
      <w:r w:rsidR="00A54CA2">
        <w:rPr>
          <w:rFonts w:ascii="Arial" w:hAnsi="Arial" w:cs="Arial"/>
          <w:sz w:val="20"/>
          <w:szCs w:val="20"/>
        </w:rPr>
        <w:t xml:space="preserve"> popsaným v</w:t>
      </w:r>
      <w:r w:rsidR="00F16426">
        <w:rPr>
          <w:rFonts w:ascii="Arial" w:hAnsi="Arial" w:cs="Arial"/>
          <w:sz w:val="20"/>
          <w:szCs w:val="20"/>
        </w:rPr>
        <w:t> článku 5 této smlouvy o dodávkách</w:t>
      </w:r>
      <w:r w:rsidR="008231AA" w:rsidRPr="00BC3B0C">
        <w:rPr>
          <w:rFonts w:ascii="Arial" w:hAnsi="Arial" w:cs="Arial"/>
          <w:sz w:val="20"/>
          <w:szCs w:val="20"/>
        </w:rPr>
        <w:t>.</w:t>
      </w:r>
    </w:p>
    <w:p w14:paraId="39DA4D76" w14:textId="49A7A445" w:rsidR="00482DCA" w:rsidRPr="002377E0" w:rsidRDefault="00482DCA" w:rsidP="00482DCA">
      <w:pPr>
        <w:keepNext/>
        <w:spacing w:before="480" w:after="240"/>
        <w:jc w:val="center"/>
        <w:rPr>
          <w:rFonts w:ascii="Arial" w:hAnsi="Arial" w:cs="Arial"/>
          <w:b/>
          <w:sz w:val="20"/>
          <w:szCs w:val="20"/>
        </w:rPr>
      </w:pPr>
      <w:r w:rsidRPr="002377E0">
        <w:rPr>
          <w:rFonts w:ascii="Arial" w:hAnsi="Arial" w:cs="Arial"/>
          <w:b/>
          <w:spacing w:val="60"/>
          <w:sz w:val="20"/>
          <w:szCs w:val="20"/>
        </w:rPr>
        <w:t xml:space="preserve">Článek </w:t>
      </w:r>
      <w:r>
        <w:rPr>
          <w:rFonts w:ascii="Arial" w:hAnsi="Arial" w:cs="Arial"/>
          <w:b/>
          <w:spacing w:val="60"/>
          <w:sz w:val="20"/>
          <w:szCs w:val="20"/>
        </w:rPr>
        <w:t>5</w:t>
      </w:r>
      <w:r w:rsidRPr="002377E0">
        <w:rPr>
          <w:rFonts w:ascii="Arial" w:hAnsi="Arial" w:cs="Arial"/>
          <w:b/>
          <w:spacing w:val="60"/>
          <w:sz w:val="20"/>
          <w:szCs w:val="20"/>
        </w:rPr>
        <w:br/>
      </w:r>
      <w:r>
        <w:rPr>
          <w:rFonts w:ascii="Arial" w:hAnsi="Arial" w:cs="Arial"/>
          <w:b/>
          <w:sz w:val="20"/>
          <w:szCs w:val="20"/>
        </w:rPr>
        <w:t>Zjištění ceny</w:t>
      </w:r>
      <w:r w:rsidRPr="002377E0">
        <w:rPr>
          <w:rFonts w:ascii="Arial" w:hAnsi="Arial" w:cs="Arial"/>
          <w:b/>
          <w:sz w:val="20"/>
          <w:szCs w:val="20"/>
        </w:rPr>
        <w:t xml:space="preserve"> za trakční elektrickou energii</w:t>
      </w:r>
    </w:p>
    <w:p w14:paraId="66A26C30" w14:textId="7D685FC5" w:rsidR="008231AA" w:rsidRPr="00BC3B0C" w:rsidRDefault="00F16426" w:rsidP="008231AA">
      <w:pPr>
        <w:spacing w:after="120"/>
        <w:ind w:left="397" w:hanging="397"/>
        <w:jc w:val="both"/>
        <w:rPr>
          <w:rFonts w:ascii="Arial" w:hAnsi="Arial" w:cs="Arial"/>
          <w:sz w:val="20"/>
          <w:szCs w:val="20"/>
        </w:rPr>
      </w:pPr>
      <w:r>
        <w:rPr>
          <w:rFonts w:ascii="Arial" w:hAnsi="Arial" w:cs="Arial"/>
          <w:sz w:val="20"/>
          <w:szCs w:val="20"/>
        </w:rPr>
        <w:t>1</w:t>
      </w:r>
      <w:r w:rsidR="008231AA" w:rsidRPr="00BC3B0C">
        <w:rPr>
          <w:rFonts w:ascii="Arial" w:hAnsi="Arial" w:cs="Arial"/>
          <w:sz w:val="20"/>
          <w:szCs w:val="20"/>
        </w:rPr>
        <w:t>.</w:t>
      </w:r>
      <w:r w:rsidR="008231AA" w:rsidRPr="00BC3B0C">
        <w:rPr>
          <w:rFonts w:ascii="Arial" w:hAnsi="Arial" w:cs="Arial"/>
          <w:sz w:val="20"/>
          <w:szCs w:val="20"/>
        </w:rPr>
        <w:tab/>
        <w:t xml:space="preserve">Provozovatel bude </w:t>
      </w:r>
      <w:r w:rsidR="0028379F">
        <w:rPr>
          <w:rFonts w:ascii="Arial" w:hAnsi="Arial" w:cs="Arial"/>
          <w:sz w:val="20"/>
          <w:szCs w:val="20"/>
        </w:rPr>
        <w:t xml:space="preserve">pro každý rok </w:t>
      </w:r>
      <w:r w:rsidR="00D33C2F">
        <w:rPr>
          <w:rFonts w:ascii="Arial" w:hAnsi="Arial" w:cs="Arial"/>
          <w:sz w:val="20"/>
          <w:szCs w:val="20"/>
        </w:rPr>
        <w:t xml:space="preserve">účinnosti této smlouvy o dodávkách </w:t>
      </w:r>
      <w:r w:rsidR="0028379F">
        <w:rPr>
          <w:rFonts w:ascii="Arial" w:hAnsi="Arial" w:cs="Arial"/>
          <w:sz w:val="20"/>
          <w:szCs w:val="20"/>
        </w:rPr>
        <w:t xml:space="preserve">následující po roce </w:t>
      </w:r>
      <w:r w:rsidR="00C038BE">
        <w:rPr>
          <w:rFonts w:ascii="Arial" w:hAnsi="Arial" w:cs="Arial"/>
          <w:sz w:val="20"/>
          <w:szCs w:val="20"/>
        </w:rPr>
        <w:t>[</w:t>
      </w:r>
      <w:r w:rsidR="00C038BE" w:rsidRPr="00C038BE">
        <w:rPr>
          <w:rFonts w:ascii="Arial" w:hAnsi="Arial" w:cs="Arial"/>
          <w:sz w:val="20"/>
          <w:szCs w:val="20"/>
          <w:highlight w:val="yellow"/>
        </w:rPr>
        <w:t>bude doplněn rok účinnost</w:t>
      </w:r>
      <w:r w:rsidR="00C038BE">
        <w:rPr>
          <w:rFonts w:ascii="Arial" w:hAnsi="Arial" w:cs="Arial"/>
          <w:sz w:val="20"/>
          <w:szCs w:val="20"/>
          <w:highlight w:val="yellow"/>
        </w:rPr>
        <w:t>i</w:t>
      </w:r>
      <w:r w:rsidR="00C038BE" w:rsidRPr="00C038BE">
        <w:rPr>
          <w:rFonts w:ascii="Arial" w:hAnsi="Arial" w:cs="Arial"/>
          <w:sz w:val="20"/>
          <w:szCs w:val="20"/>
          <w:highlight w:val="yellow"/>
        </w:rPr>
        <w:t xml:space="preserve"> této smlouvy o dodávkách</w:t>
      </w:r>
      <w:r w:rsidR="00C038BE">
        <w:rPr>
          <w:rFonts w:ascii="Arial" w:hAnsi="Arial" w:cs="Arial"/>
          <w:sz w:val="20"/>
          <w:szCs w:val="20"/>
        </w:rPr>
        <w:t>]</w:t>
      </w:r>
      <w:r w:rsidR="0028379F">
        <w:rPr>
          <w:rFonts w:ascii="Arial" w:hAnsi="Arial" w:cs="Arial"/>
          <w:sz w:val="20"/>
          <w:szCs w:val="20"/>
        </w:rPr>
        <w:t xml:space="preserve"> </w:t>
      </w:r>
      <w:r w:rsidR="008231AA" w:rsidRPr="00BC3B0C">
        <w:rPr>
          <w:rFonts w:ascii="Arial" w:hAnsi="Arial" w:cs="Arial"/>
          <w:sz w:val="20"/>
          <w:szCs w:val="20"/>
        </w:rPr>
        <w:t xml:space="preserve">formou elektronické aukce na komoditní burze soutěžit cenový index dodavatele trakční elektrické energie vyjádřený v korunách českých. Provozovatel na základě výsledku této aukce </w:t>
      </w:r>
      <w:r w:rsidR="0059555F" w:rsidRPr="00BC3B0C">
        <w:rPr>
          <w:rFonts w:ascii="Arial" w:hAnsi="Arial" w:cs="Arial"/>
          <w:sz w:val="20"/>
          <w:szCs w:val="20"/>
        </w:rPr>
        <w:t xml:space="preserve">uzavře </w:t>
      </w:r>
      <w:r w:rsidR="008231AA" w:rsidRPr="00BC3B0C">
        <w:rPr>
          <w:rFonts w:ascii="Arial" w:hAnsi="Arial" w:cs="Arial"/>
          <w:sz w:val="20"/>
          <w:szCs w:val="20"/>
        </w:rPr>
        <w:t xml:space="preserve">s vybraným dodavatelem smlouvu o dodávce trakční elektrické energie </w:t>
      </w:r>
      <w:r w:rsidR="00AF4469">
        <w:rPr>
          <w:rFonts w:ascii="Arial" w:hAnsi="Arial" w:cs="Arial"/>
          <w:sz w:val="20"/>
          <w:szCs w:val="20"/>
        </w:rPr>
        <w:t>pro každý rok účinnosti této smlouvy o</w:t>
      </w:r>
      <w:r w:rsidR="00D33C2F">
        <w:rPr>
          <w:rFonts w:ascii="Arial" w:hAnsi="Arial" w:cs="Arial"/>
          <w:sz w:val="20"/>
          <w:szCs w:val="20"/>
        </w:rPr>
        <w:t> </w:t>
      </w:r>
      <w:r w:rsidR="00AF4469">
        <w:rPr>
          <w:rFonts w:ascii="Arial" w:hAnsi="Arial" w:cs="Arial"/>
          <w:sz w:val="20"/>
          <w:szCs w:val="20"/>
        </w:rPr>
        <w:t xml:space="preserve">dodávkách </w:t>
      </w:r>
      <w:r w:rsidR="0028379F">
        <w:rPr>
          <w:rFonts w:ascii="Arial" w:hAnsi="Arial" w:cs="Arial"/>
          <w:sz w:val="20"/>
          <w:szCs w:val="20"/>
        </w:rPr>
        <w:t xml:space="preserve">následující po roce </w:t>
      </w:r>
      <w:r w:rsidR="00C038BE">
        <w:rPr>
          <w:rFonts w:ascii="Arial" w:hAnsi="Arial" w:cs="Arial"/>
          <w:sz w:val="20"/>
          <w:szCs w:val="20"/>
        </w:rPr>
        <w:t>[</w:t>
      </w:r>
      <w:r w:rsidR="00C038BE" w:rsidRPr="00C038BE">
        <w:rPr>
          <w:rFonts w:ascii="Arial" w:hAnsi="Arial" w:cs="Arial"/>
          <w:sz w:val="20"/>
          <w:szCs w:val="20"/>
          <w:highlight w:val="yellow"/>
        </w:rPr>
        <w:t>bude doplněn rok účinnost</w:t>
      </w:r>
      <w:r w:rsidR="00C038BE">
        <w:rPr>
          <w:rFonts w:ascii="Arial" w:hAnsi="Arial" w:cs="Arial"/>
          <w:sz w:val="20"/>
          <w:szCs w:val="20"/>
          <w:highlight w:val="yellow"/>
        </w:rPr>
        <w:t>i</w:t>
      </w:r>
      <w:r w:rsidR="00C038BE" w:rsidRPr="00C038BE">
        <w:rPr>
          <w:rFonts w:ascii="Arial" w:hAnsi="Arial" w:cs="Arial"/>
          <w:sz w:val="20"/>
          <w:szCs w:val="20"/>
          <w:highlight w:val="yellow"/>
        </w:rPr>
        <w:t xml:space="preserve"> této smlouvy o dodávkách</w:t>
      </w:r>
      <w:r w:rsidR="00C038BE">
        <w:rPr>
          <w:rFonts w:ascii="Arial" w:hAnsi="Arial" w:cs="Arial"/>
          <w:sz w:val="20"/>
          <w:szCs w:val="20"/>
        </w:rPr>
        <w:t>]</w:t>
      </w:r>
      <w:r w:rsidR="0028379F">
        <w:rPr>
          <w:rFonts w:ascii="Arial" w:hAnsi="Arial" w:cs="Arial"/>
          <w:sz w:val="20"/>
          <w:szCs w:val="20"/>
        </w:rPr>
        <w:t xml:space="preserve"> </w:t>
      </w:r>
      <w:r w:rsidR="008231AA" w:rsidRPr="00BC3B0C">
        <w:rPr>
          <w:rFonts w:ascii="Arial" w:hAnsi="Arial" w:cs="Arial"/>
          <w:sz w:val="20"/>
          <w:szCs w:val="20"/>
        </w:rPr>
        <w:t xml:space="preserve">stvrzenou příslušným závěrkovým listem, a to </w:t>
      </w:r>
      <w:r w:rsidR="0059555F" w:rsidRPr="00BC3B0C">
        <w:rPr>
          <w:rFonts w:ascii="Arial" w:hAnsi="Arial" w:cs="Arial"/>
          <w:sz w:val="20"/>
          <w:szCs w:val="20"/>
        </w:rPr>
        <w:t xml:space="preserve">vždy </w:t>
      </w:r>
      <w:r w:rsidR="006D52DD" w:rsidRPr="00BC3B0C">
        <w:rPr>
          <w:rFonts w:ascii="Arial" w:hAnsi="Arial" w:cs="Arial"/>
          <w:sz w:val="20"/>
          <w:szCs w:val="20"/>
        </w:rPr>
        <w:t xml:space="preserve">s účinností </w:t>
      </w:r>
      <w:r w:rsidR="008231AA" w:rsidRPr="00BC3B0C">
        <w:rPr>
          <w:rFonts w:ascii="Arial" w:hAnsi="Arial" w:cs="Arial"/>
          <w:sz w:val="20"/>
          <w:szCs w:val="20"/>
        </w:rPr>
        <w:t>na jeden kalendářní rok.</w:t>
      </w:r>
    </w:p>
    <w:p w14:paraId="001D6CF9" w14:textId="44B9356C" w:rsidR="00F37933" w:rsidRPr="00BC3B0C" w:rsidRDefault="00171262" w:rsidP="00F37933">
      <w:pPr>
        <w:spacing w:after="120"/>
        <w:ind w:left="397" w:hanging="397"/>
        <w:jc w:val="both"/>
        <w:rPr>
          <w:rFonts w:ascii="Arial" w:hAnsi="Arial" w:cs="Arial"/>
          <w:sz w:val="20"/>
          <w:szCs w:val="20"/>
        </w:rPr>
      </w:pPr>
      <w:r>
        <w:rPr>
          <w:rFonts w:ascii="Arial" w:hAnsi="Arial" w:cs="Arial"/>
          <w:sz w:val="20"/>
          <w:szCs w:val="20"/>
        </w:rPr>
        <w:t>2</w:t>
      </w:r>
      <w:r w:rsidR="00F37933" w:rsidRPr="00BC3B0C">
        <w:rPr>
          <w:rFonts w:ascii="Arial" w:hAnsi="Arial" w:cs="Arial"/>
          <w:sz w:val="20"/>
          <w:szCs w:val="20"/>
        </w:rPr>
        <w:t>.</w:t>
      </w:r>
      <w:r w:rsidR="00F37933" w:rsidRPr="00BC3B0C">
        <w:rPr>
          <w:rFonts w:ascii="Arial" w:hAnsi="Arial" w:cs="Arial"/>
          <w:sz w:val="20"/>
          <w:szCs w:val="20"/>
        </w:rPr>
        <w:tab/>
        <w:t xml:space="preserve">Nákup trakční elektrické energie bude probíhat tak, že příslušný dodavatel trakční elektrické energie poskytne provozovateli </w:t>
      </w:r>
      <w:r w:rsidR="0028379F">
        <w:rPr>
          <w:rFonts w:ascii="Arial" w:hAnsi="Arial" w:cs="Arial"/>
          <w:sz w:val="20"/>
          <w:szCs w:val="20"/>
        </w:rPr>
        <w:t xml:space="preserve">pro každý rok </w:t>
      </w:r>
      <w:r w:rsidR="00D33C2F">
        <w:rPr>
          <w:rFonts w:ascii="Arial" w:hAnsi="Arial" w:cs="Arial"/>
          <w:sz w:val="20"/>
          <w:szCs w:val="20"/>
        </w:rPr>
        <w:t xml:space="preserve">účinnosti této smlouvy o dodávkách </w:t>
      </w:r>
      <w:r w:rsidR="0028379F">
        <w:rPr>
          <w:rFonts w:ascii="Arial" w:hAnsi="Arial" w:cs="Arial"/>
          <w:sz w:val="20"/>
          <w:szCs w:val="20"/>
        </w:rPr>
        <w:t xml:space="preserve">následující po roce </w:t>
      </w:r>
      <w:r w:rsidR="00C038BE">
        <w:rPr>
          <w:rFonts w:ascii="Arial" w:hAnsi="Arial" w:cs="Arial"/>
          <w:sz w:val="20"/>
          <w:szCs w:val="20"/>
        </w:rPr>
        <w:t>[</w:t>
      </w:r>
      <w:r w:rsidR="00C038BE" w:rsidRPr="00C038BE">
        <w:rPr>
          <w:rFonts w:ascii="Arial" w:hAnsi="Arial" w:cs="Arial"/>
          <w:sz w:val="20"/>
          <w:szCs w:val="20"/>
          <w:highlight w:val="yellow"/>
        </w:rPr>
        <w:t>bude doplněn rok účinnost</w:t>
      </w:r>
      <w:r w:rsidR="00C038BE">
        <w:rPr>
          <w:rFonts w:ascii="Arial" w:hAnsi="Arial" w:cs="Arial"/>
          <w:sz w:val="20"/>
          <w:szCs w:val="20"/>
          <w:highlight w:val="yellow"/>
        </w:rPr>
        <w:t>i</w:t>
      </w:r>
      <w:r w:rsidR="00C038BE" w:rsidRPr="00C038BE">
        <w:rPr>
          <w:rFonts w:ascii="Arial" w:hAnsi="Arial" w:cs="Arial"/>
          <w:sz w:val="20"/>
          <w:szCs w:val="20"/>
          <w:highlight w:val="yellow"/>
        </w:rPr>
        <w:t xml:space="preserve"> této smlouvy o dodávkách</w:t>
      </w:r>
      <w:r w:rsidR="00C038BE">
        <w:rPr>
          <w:rFonts w:ascii="Arial" w:hAnsi="Arial" w:cs="Arial"/>
          <w:sz w:val="20"/>
          <w:szCs w:val="20"/>
        </w:rPr>
        <w:t>]</w:t>
      </w:r>
      <w:r w:rsidR="0028379F">
        <w:rPr>
          <w:rFonts w:ascii="Arial" w:hAnsi="Arial" w:cs="Arial"/>
          <w:sz w:val="20"/>
          <w:szCs w:val="20"/>
        </w:rPr>
        <w:t xml:space="preserve"> </w:t>
      </w:r>
      <w:r w:rsidR="00F37933" w:rsidRPr="00BC3B0C">
        <w:rPr>
          <w:rFonts w:ascii="Arial" w:hAnsi="Arial" w:cs="Arial"/>
          <w:sz w:val="20"/>
          <w:szCs w:val="20"/>
        </w:rPr>
        <w:t>službu postupného nákupu podle cenového vzorce</w:t>
      </w:r>
      <w:r w:rsidR="0059555F" w:rsidRPr="00BC3B0C">
        <w:rPr>
          <w:rFonts w:ascii="Arial" w:hAnsi="Arial" w:cs="Arial"/>
          <w:sz w:val="20"/>
          <w:szCs w:val="20"/>
        </w:rPr>
        <w:t xml:space="preserve"> s</w:t>
      </w:r>
      <w:r w:rsidR="00AF4469">
        <w:rPr>
          <w:rFonts w:ascii="Arial" w:hAnsi="Arial" w:cs="Arial"/>
          <w:sz w:val="20"/>
          <w:szCs w:val="20"/>
        </w:rPr>
        <w:t>e</w:t>
      </w:r>
      <w:r w:rsidR="002E627E">
        <w:rPr>
          <w:rFonts w:ascii="Arial" w:hAnsi="Arial" w:cs="Arial"/>
          <w:sz w:val="20"/>
          <w:szCs w:val="20"/>
        </w:rPr>
        <w:t> sčítacím</w:t>
      </w:r>
      <w:r w:rsidR="0059555F" w:rsidRPr="00BC3B0C">
        <w:rPr>
          <w:rFonts w:ascii="Arial" w:hAnsi="Arial" w:cs="Arial"/>
          <w:sz w:val="20"/>
          <w:szCs w:val="20"/>
        </w:rPr>
        <w:t xml:space="preserve"> </w:t>
      </w:r>
      <w:r w:rsidR="0028379F">
        <w:rPr>
          <w:rFonts w:ascii="Arial" w:hAnsi="Arial" w:cs="Arial"/>
          <w:sz w:val="20"/>
          <w:szCs w:val="20"/>
        </w:rPr>
        <w:t xml:space="preserve">nebo </w:t>
      </w:r>
      <w:r w:rsidR="0059555F" w:rsidRPr="00BC3B0C">
        <w:rPr>
          <w:rFonts w:ascii="Arial" w:hAnsi="Arial" w:cs="Arial"/>
          <w:sz w:val="20"/>
          <w:szCs w:val="20"/>
        </w:rPr>
        <w:t>násobným indexem</w:t>
      </w:r>
      <w:r w:rsidR="00F37933" w:rsidRPr="00BC3B0C">
        <w:rPr>
          <w:rFonts w:ascii="Arial" w:hAnsi="Arial" w:cs="Arial"/>
          <w:sz w:val="20"/>
          <w:szCs w:val="20"/>
        </w:rPr>
        <w:t>. Celkov</w:t>
      </w:r>
      <w:r>
        <w:rPr>
          <w:rFonts w:ascii="Arial" w:hAnsi="Arial" w:cs="Arial"/>
          <w:sz w:val="20"/>
          <w:szCs w:val="20"/>
        </w:rPr>
        <w:t>ý</w:t>
      </w:r>
      <w:r w:rsidR="00DA0B7B">
        <w:rPr>
          <w:rFonts w:ascii="Arial" w:hAnsi="Arial" w:cs="Arial"/>
          <w:sz w:val="20"/>
          <w:szCs w:val="20"/>
        </w:rPr>
        <w:t xml:space="preserve"> předpokládaný</w:t>
      </w:r>
      <w:r w:rsidR="00F37933" w:rsidRPr="00BC3B0C">
        <w:rPr>
          <w:rFonts w:ascii="Arial" w:hAnsi="Arial" w:cs="Arial"/>
          <w:sz w:val="20"/>
          <w:szCs w:val="20"/>
        </w:rPr>
        <w:t xml:space="preserve"> </w:t>
      </w:r>
      <w:r>
        <w:rPr>
          <w:rFonts w:ascii="Arial" w:hAnsi="Arial" w:cs="Arial"/>
          <w:sz w:val="20"/>
          <w:szCs w:val="20"/>
        </w:rPr>
        <w:t xml:space="preserve">objem </w:t>
      </w:r>
      <w:r w:rsidR="00F37933" w:rsidRPr="00BC3B0C">
        <w:rPr>
          <w:rFonts w:ascii="Arial" w:hAnsi="Arial" w:cs="Arial"/>
          <w:sz w:val="20"/>
          <w:szCs w:val="20"/>
        </w:rPr>
        <w:t xml:space="preserve">trakční elektrické energie </w:t>
      </w:r>
      <w:r>
        <w:rPr>
          <w:rFonts w:ascii="Arial" w:hAnsi="Arial" w:cs="Arial"/>
          <w:sz w:val="20"/>
          <w:szCs w:val="20"/>
        </w:rPr>
        <w:t xml:space="preserve">nakoupený </w:t>
      </w:r>
      <w:r w:rsidR="00F37933" w:rsidRPr="00BC3B0C">
        <w:rPr>
          <w:rFonts w:ascii="Arial" w:hAnsi="Arial" w:cs="Arial"/>
          <w:sz w:val="20"/>
          <w:szCs w:val="20"/>
        </w:rPr>
        <w:t xml:space="preserve">provozovatelem </w:t>
      </w:r>
      <w:r>
        <w:rPr>
          <w:rFonts w:ascii="Arial" w:hAnsi="Arial" w:cs="Arial"/>
          <w:sz w:val="20"/>
          <w:szCs w:val="20"/>
        </w:rPr>
        <w:t xml:space="preserve">ve prospěch dopravce </w:t>
      </w:r>
      <w:r w:rsidR="00F37933" w:rsidRPr="00BC3B0C">
        <w:rPr>
          <w:rFonts w:ascii="Arial" w:hAnsi="Arial" w:cs="Arial"/>
          <w:sz w:val="20"/>
          <w:szCs w:val="20"/>
        </w:rPr>
        <w:t xml:space="preserve">bude </w:t>
      </w:r>
      <w:r w:rsidR="006D52DD" w:rsidRPr="00BC3B0C">
        <w:rPr>
          <w:rFonts w:ascii="Arial" w:hAnsi="Arial" w:cs="Arial"/>
          <w:sz w:val="20"/>
          <w:szCs w:val="20"/>
        </w:rPr>
        <w:t xml:space="preserve">pro </w:t>
      </w:r>
      <w:r>
        <w:rPr>
          <w:rFonts w:ascii="Arial" w:hAnsi="Arial" w:cs="Arial"/>
          <w:sz w:val="20"/>
          <w:szCs w:val="20"/>
        </w:rPr>
        <w:t xml:space="preserve">každý </w:t>
      </w:r>
      <w:r w:rsidR="006D52DD" w:rsidRPr="00BC3B0C">
        <w:rPr>
          <w:rFonts w:ascii="Arial" w:hAnsi="Arial" w:cs="Arial"/>
          <w:sz w:val="20"/>
          <w:szCs w:val="20"/>
        </w:rPr>
        <w:t xml:space="preserve">rok </w:t>
      </w:r>
      <w:r>
        <w:rPr>
          <w:rFonts w:ascii="Arial" w:hAnsi="Arial" w:cs="Arial"/>
          <w:sz w:val="20"/>
          <w:szCs w:val="20"/>
        </w:rPr>
        <w:t>účinnosti této smlouvy o</w:t>
      </w:r>
      <w:r w:rsidR="0028379F">
        <w:rPr>
          <w:rFonts w:ascii="Arial" w:hAnsi="Arial" w:cs="Arial"/>
          <w:sz w:val="20"/>
          <w:szCs w:val="20"/>
        </w:rPr>
        <w:t> </w:t>
      </w:r>
      <w:r>
        <w:rPr>
          <w:rFonts w:ascii="Arial" w:hAnsi="Arial" w:cs="Arial"/>
          <w:sz w:val="20"/>
          <w:szCs w:val="20"/>
        </w:rPr>
        <w:t xml:space="preserve">dodávkách </w:t>
      </w:r>
      <w:r w:rsidR="0028379F">
        <w:rPr>
          <w:rFonts w:ascii="Arial" w:hAnsi="Arial" w:cs="Arial"/>
          <w:sz w:val="20"/>
          <w:szCs w:val="20"/>
        </w:rPr>
        <w:t xml:space="preserve">následující po roce </w:t>
      </w:r>
      <w:r w:rsidR="00C038BE">
        <w:rPr>
          <w:rFonts w:ascii="Arial" w:hAnsi="Arial" w:cs="Arial"/>
          <w:sz w:val="20"/>
          <w:szCs w:val="20"/>
        </w:rPr>
        <w:t>[</w:t>
      </w:r>
      <w:r w:rsidR="00C038BE" w:rsidRPr="00C038BE">
        <w:rPr>
          <w:rFonts w:ascii="Arial" w:hAnsi="Arial" w:cs="Arial"/>
          <w:sz w:val="20"/>
          <w:szCs w:val="20"/>
          <w:highlight w:val="yellow"/>
        </w:rPr>
        <w:t>bude doplněn rok účinnost</w:t>
      </w:r>
      <w:r w:rsidR="00C038BE">
        <w:rPr>
          <w:rFonts w:ascii="Arial" w:hAnsi="Arial" w:cs="Arial"/>
          <w:sz w:val="20"/>
          <w:szCs w:val="20"/>
          <w:highlight w:val="yellow"/>
        </w:rPr>
        <w:t>i</w:t>
      </w:r>
      <w:r w:rsidR="00C038BE" w:rsidRPr="00C038BE">
        <w:rPr>
          <w:rFonts w:ascii="Arial" w:hAnsi="Arial" w:cs="Arial"/>
          <w:sz w:val="20"/>
          <w:szCs w:val="20"/>
          <w:highlight w:val="yellow"/>
        </w:rPr>
        <w:t xml:space="preserve"> této smlouvy o dodávkách</w:t>
      </w:r>
      <w:r w:rsidR="00C038BE">
        <w:rPr>
          <w:rFonts w:ascii="Arial" w:hAnsi="Arial" w:cs="Arial"/>
          <w:sz w:val="20"/>
          <w:szCs w:val="20"/>
        </w:rPr>
        <w:t>]</w:t>
      </w:r>
      <w:r>
        <w:rPr>
          <w:rFonts w:ascii="Arial" w:hAnsi="Arial" w:cs="Arial"/>
          <w:sz w:val="20"/>
          <w:szCs w:val="20"/>
        </w:rPr>
        <w:t xml:space="preserve"> </w:t>
      </w:r>
      <w:r w:rsidR="00DA0B7B">
        <w:rPr>
          <w:rFonts w:ascii="Arial" w:hAnsi="Arial" w:cs="Arial"/>
          <w:sz w:val="20"/>
          <w:szCs w:val="20"/>
        </w:rPr>
        <w:t>odpovídat</w:t>
      </w:r>
      <w:r w:rsidRPr="00AB4717">
        <w:rPr>
          <w:rFonts w:ascii="Arial" w:hAnsi="Arial" w:cs="Arial"/>
          <w:sz w:val="20"/>
          <w:szCs w:val="20"/>
        </w:rPr>
        <w:t xml:space="preserve"> </w:t>
      </w:r>
      <w:r w:rsidR="00DA0B7B">
        <w:rPr>
          <w:rFonts w:ascii="Arial" w:hAnsi="Arial" w:cs="Arial"/>
          <w:sz w:val="20"/>
          <w:szCs w:val="20"/>
        </w:rPr>
        <w:t>objemu</w:t>
      </w:r>
      <w:bookmarkStart w:id="9" w:name="_Hlk515030487"/>
      <w:r>
        <w:rPr>
          <w:rFonts w:ascii="Arial" w:hAnsi="Arial" w:cs="Arial"/>
          <w:sz w:val="20"/>
          <w:szCs w:val="20"/>
        </w:rPr>
        <w:t xml:space="preserve"> spotřeby trakční elektrické energie dopravcem </w:t>
      </w:r>
      <w:r w:rsidR="00DA0B7B">
        <w:rPr>
          <w:rFonts w:ascii="Arial" w:hAnsi="Arial" w:cs="Arial"/>
          <w:sz w:val="20"/>
          <w:szCs w:val="20"/>
        </w:rPr>
        <w:t>v předchozím roce</w:t>
      </w:r>
      <w:r w:rsidR="00C974EF">
        <w:rPr>
          <w:rFonts w:ascii="Arial" w:hAnsi="Arial" w:cs="Arial"/>
          <w:sz w:val="20"/>
          <w:szCs w:val="20"/>
        </w:rPr>
        <w:t xml:space="preserve">, </w:t>
      </w:r>
      <w:r w:rsidR="00AD3BB8">
        <w:rPr>
          <w:rFonts w:ascii="Arial" w:hAnsi="Arial" w:cs="Arial"/>
          <w:sz w:val="20"/>
          <w:szCs w:val="20"/>
        </w:rPr>
        <w:t>jinak objemu dohodnutém smluvními stranami, neexistují-li údaje pro stanovení objemu jeho spotřeby ani za předchozí rok</w:t>
      </w:r>
      <w:r>
        <w:rPr>
          <w:rFonts w:ascii="Arial" w:hAnsi="Arial" w:cs="Arial"/>
          <w:sz w:val="20"/>
          <w:szCs w:val="20"/>
        </w:rPr>
        <w:t>.</w:t>
      </w:r>
      <w:bookmarkEnd w:id="9"/>
      <w:r w:rsidRPr="00BC3B0C">
        <w:rPr>
          <w:rFonts w:ascii="Arial" w:hAnsi="Arial" w:cs="Arial"/>
          <w:sz w:val="20"/>
          <w:szCs w:val="20"/>
        </w:rPr>
        <w:t xml:space="preserve"> </w:t>
      </w:r>
      <w:r w:rsidR="00F37933" w:rsidRPr="00BC3B0C">
        <w:rPr>
          <w:rFonts w:ascii="Arial" w:hAnsi="Arial" w:cs="Arial"/>
          <w:sz w:val="20"/>
          <w:szCs w:val="20"/>
        </w:rPr>
        <w:t>Odpovědnost za odchylku při dodávce trakční elektrické energie převezme příslušný dodavatel.</w:t>
      </w:r>
    </w:p>
    <w:p w14:paraId="37D43FDF" w14:textId="77777777" w:rsidR="003007FB" w:rsidRPr="00BC3B0C" w:rsidRDefault="00171262" w:rsidP="00F37933">
      <w:pPr>
        <w:spacing w:after="120"/>
        <w:ind w:left="397" w:hanging="397"/>
        <w:jc w:val="both"/>
        <w:rPr>
          <w:rFonts w:ascii="Arial" w:hAnsi="Arial" w:cs="Arial"/>
          <w:sz w:val="20"/>
          <w:szCs w:val="20"/>
        </w:rPr>
      </w:pPr>
      <w:r>
        <w:rPr>
          <w:rFonts w:ascii="Arial" w:hAnsi="Arial" w:cs="Arial"/>
          <w:sz w:val="20"/>
          <w:szCs w:val="20"/>
        </w:rPr>
        <w:t>3.</w:t>
      </w:r>
      <w:r w:rsidR="003007FB">
        <w:rPr>
          <w:rFonts w:ascii="Arial" w:hAnsi="Arial" w:cs="Arial"/>
          <w:sz w:val="20"/>
          <w:szCs w:val="20"/>
        </w:rPr>
        <w:t xml:space="preserve"> </w:t>
      </w:r>
      <w:r w:rsidR="003007FB">
        <w:rPr>
          <w:rFonts w:ascii="Arial" w:hAnsi="Arial" w:cs="Arial"/>
          <w:sz w:val="20"/>
          <w:szCs w:val="20"/>
        </w:rPr>
        <w:tab/>
        <w:t>Provozovatel se</w:t>
      </w:r>
      <w:r w:rsidR="00A9564D">
        <w:rPr>
          <w:rFonts w:ascii="Arial" w:hAnsi="Arial" w:cs="Arial"/>
          <w:sz w:val="20"/>
          <w:szCs w:val="20"/>
        </w:rPr>
        <w:t xml:space="preserve"> zavazuje zajistit, že</w:t>
      </w:r>
      <w:r w:rsidR="003007FB">
        <w:rPr>
          <w:rFonts w:ascii="Arial" w:hAnsi="Arial" w:cs="Arial"/>
          <w:sz w:val="20"/>
          <w:szCs w:val="20"/>
        </w:rPr>
        <w:t xml:space="preserve"> v souvislosti s nakupováním trakční elektrické energie na komoditní burze (tj. při posouzení výhodnosti a výběru sčítacího nebo násobného indexu, při uzavírání smlouvy s příslušným dodavatelem trakční elektrické energie a při provádění nákupních kroků na komoditní burze) </w:t>
      </w:r>
      <w:r w:rsidR="00A9564D">
        <w:rPr>
          <w:rFonts w:ascii="Arial" w:hAnsi="Arial" w:cs="Arial"/>
          <w:sz w:val="20"/>
          <w:szCs w:val="20"/>
        </w:rPr>
        <w:t xml:space="preserve">bude dodržována </w:t>
      </w:r>
      <w:r w:rsidR="003007FB">
        <w:rPr>
          <w:rFonts w:ascii="Arial" w:hAnsi="Arial" w:cs="Arial"/>
          <w:sz w:val="20"/>
          <w:szCs w:val="20"/>
        </w:rPr>
        <w:t xml:space="preserve">povinnost péče řádného hospodáře. Provozovatel se dále v souvislosti s nakupováním </w:t>
      </w:r>
      <w:r w:rsidR="003007FB" w:rsidRPr="009A045D">
        <w:rPr>
          <w:rFonts w:ascii="Arial" w:hAnsi="Arial" w:cs="Arial"/>
          <w:sz w:val="20"/>
          <w:szCs w:val="20"/>
        </w:rPr>
        <w:t xml:space="preserve">trakční elektrické energie </w:t>
      </w:r>
      <w:r w:rsidR="003007FB">
        <w:rPr>
          <w:rFonts w:ascii="Arial" w:hAnsi="Arial" w:cs="Arial"/>
          <w:sz w:val="20"/>
          <w:szCs w:val="20"/>
        </w:rPr>
        <w:t xml:space="preserve">ve prospěch dopravce zavazuje vynakládat </w:t>
      </w:r>
      <w:r w:rsidR="003007FB" w:rsidRPr="009A045D">
        <w:rPr>
          <w:rFonts w:ascii="Arial" w:hAnsi="Arial" w:cs="Arial"/>
          <w:sz w:val="20"/>
          <w:szCs w:val="20"/>
        </w:rPr>
        <w:t xml:space="preserve">veškeré úsilí, které po </w:t>
      </w:r>
      <w:r w:rsidR="003007FB">
        <w:rPr>
          <w:rFonts w:ascii="Arial" w:hAnsi="Arial" w:cs="Arial"/>
          <w:sz w:val="20"/>
          <w:szCs w:val="20"/>
        </w:rPr>
        <w:t xml:space="preserve">něm </w:t>
      </w:r>
      <w:r w:rsidR="003007FB" w:rsidRPr="009A045D">
        <w:rPr>
          <w:rFonts w:ascii="Arial" w:hAnsi="Arial" w:cs="Arial"/>
          <w:sz w:val="20"/>
          <w:szCs w:val="20"/>
        </w:rPr>
        <w:t>lze rozumně požadovat k tomu, aby trakční elektrick</w:t>
      </w:r>
      <w:r w:rsidR="00A9564D">
        <w:rPr>
          <w:rFonts w:ascii="Arial" w:hAnsi="Arial" w:cs="Arial"/>
          <w:sz w:val="20"/>
          <w:szCs w:val="20"/>
        </w:rPr>
        <w:t>á</w:t>
      </w:r>
      <w:r w:rsidR="003007FB" w:rsidRPr="009A045D">
        <w:rPr>
          <w:rFonts w:ascii="Arial" w:hAnsi="Arial" w:cs="Arial"/>
          <w:sz w:val="20"/>
          <w:szCs w:val="20"/>
        </w:rPr>
        <w:t xml:space="preserve"> energi</w:t>
      </w:r>
      <w:r w:rsidR="00A9564D">
        <w:rPr>
          <w:rFonts w:ascii="Arial" w:hAnsi="Arial" w:cs="Arial"/>
          <w:sz w:val="20"/>
          <w:szCs w:val="20"/>
        </w:rPr>
        <w:t>e</w:t>
      </w:r>
      <w:r w:rsidR="003007FB" w:rsidRPr="009A045D">
        <w:rPr>
          <w:rFonts w:ascii="Arial" w:hAnsi="Arial" w:cs="Arial"/>
          <w:sz w:val="20"/>
          <w:szCs w:val="20"/>
        </w:rPr>
        <w:t xml:space="preserve"> </w:t>
      </w:r>
      <w:r w:rsidR="003007FB">
        <w:rPr>
          <w:rFonts w:ascii="Arial" w:hAnsi="Arial" w:cs="Arial"/>
          <w:sz w:val="20"/>
          <w:szCs w:val="20"/>
        </w:rPr>
        <w:t xml:space="preserve">byla </w:t>
      </w:r>
      <w:r w:rsidR="003007FB" w:rsidRPr="009A045D">
        <w:rPr>
          <w:rFonts w:ascii="Arial" w:hAnsi="Arial" w:cs="Arial"/>
          <w:sz w:val="20"/>
          <w:szCs w:val="20"/>
        </w:rPr>
        <w:t xml:space="preserve">na komoditní burze </w:t>
      </w:r>
      <w:r w:rsidR="003007FB">
        <w:rPr>
          <w:rFonts w:ascii="Arial" w:hAnsi="Arial" w:cs="Arial"/>
          <w:sz w:val="20"/>
          <w:szCs w:val="20"/>
        </w:rPr>
        <w:t xml:space="preserve">nakoupena </w:t>
      </w:r>
      <w:r w:rsidR="003007FB" w:rsidRPr="009A045D">
        <w:rPr>
          <w:rFonts w:ascii="Arial" w:hAnsi="Arial" w:cs="Arial"/>
          <w:sz w:val="20"/>
          <w:szCs w:val="20"/>
        </w:rPr>
        <w:t xml:space="preserve">způsobem co nejvýhodnějším pro obě </w:t>
      </w:r>
      <w:r w:rsidR="003007FB">
        <w:rPr>
          <w:rFonts w:ascii="Arial" w:hAnsi="Arial" w:cs="Arial"/>
          <w:sz w:val="20"/>
          <w:szCs w:val="20"/>
        </w:rPr>
        <w:t>smluvní strany</w:t>
      </w:r>
      <w:r w:rsidR="003007FB" w:rsidRPr="009A045D">
        <w:rPr>
          <w:rFonts w:ascii="Arial" w:hAnsi="Arial" w:cs="Arial"/>
          <w:sz w:val="20"/>
          <w:szCs w:val="20"/>
        </w:rPr>
        <w:t>.</w:t>
      </w:r>
    </w:p>
    <w:p w14:paraId="0798832E" w14:textId="64A32693" w:rsidR="001E43FF" w:rsidRDefault="00A9564D" w:rsidP="007D3CA4">
      <w:pPr>
        <w:spacing w:after="120"/>
        <w:ind w:left="397" w:hanging="397"/>
        <w:jc w:val="both"/>
        <w:rPr>
          <w:rFonts w:ascii="Arial" w:hAnsi="Arial" w:cs="Arial"/>
          <w:sz w:val="20"/>
          <w:szCs w:val="20"/>
        </w:rPr>
      </w:pPr>
      <w:r>
        <w:rPr>
          <w:rFonts w:ascii="Arial" w:hAnsi="Arial" w:cs="Arial"/>
          <w:sz w:val="20"/>
          <w:szCs w:val="20"/>
        </w:rPr>
        <w:t>4</w:t>
      </w:r>
      <w:r w:rsidR="00171262">
        <w:rPr>
          <w:rFonts w:ascii="Arial" w:hAnsi="Arial" w:cs="Arial"/>
          <w:sz w:val="20"/>
          <w:szCs w:val="20"/>
        </w:rPr>
        <w:t>.</w:t>
      </w:r>
      <w:r w:rsidR="00171262">
        <w:rPr>
          <w:rFonts w:ascii="Arial" w:hAnsi="Arial" w:cs="Arial"/>
          <w:sz w:val="20"/>
          <w:szCs w:val="20"/>
        </w:rPr>
        <w:tab/>
      </w:r>
      <w:r w:rsidR="001E43FF" w:rsidRPr="00BC3B0C">
        <w:rPr>
          <w:rFonts w:ascii="Arial" w:hAnsi="Arial" w:cs="Arial"/>
          <w:sz w:val="20"/>
          <w:szCs w:val="20"/>
        </w:rPr>
        <w:t xml:space="preserve">Cenový vzorec </w:t>
      </w:r>
      <w:r w:rsidR="006324FB" w:rsidRPr="00BC3B0C">
        <w:rPr>
          <w:rFonts w:ascii="Arial" w:hAnsi="Arial" w:cs="Arial"/>
          <w:sz w:val="20"/>
          <w:szCs w:val="20"/>
        </w:rPr>
        <w:t>s</w:t>
      </w:r>
      <w:r w:rsidR="00AF4469">
        <w:rPr>
          <w:rFonts w:ascii="Arial" w:hAnsi="Arial" w:cs="Arial"/>
          <w:sz w:val="20"/>
          <w:szCs w:val="20"/>
        </w:rPr>
        <w:t xml:space="preserve">e sčítacím </w:t>
      </w:r>
      <w:r w:rsidR="006324FB" w:rsidRPr="00BC3B0C">
        <w:rPr>
          <w:rFonts w:ascii="Arial" w:hAnsi="Arial" w:cs="Arial"/>
          <w:sz w:val="20"/>
          <w:szCs w:val="20"/>
        </w:rPr>
        <w:t>indexem</w:t>
      </w:r>
      <w:r w:rsidR="007D3CA4">
        <w:rPr>
          <w:rFonts w:ascii="Arial" w:hAnsi="Arial" w:cs="Arial"/>
          <w:sz w:val="20"/>
          <w:szCs w:val="20"/>
        </w:rPr>
        <w:t xml:space="preserve"> </w:t>
      </w:r>
      <w:r w:rsidR="00AF4469">
        <w:rPr>
          <w:rFonts w:ascii="Arial" w:hAnsi="Arial" w:cs="Arial"/>
          <w:sz w:val="20"/>
          <w:szCs w:val="20"/>
        </w:rPr>
        <w:t xml:space="preserve">soutěženým v CZK </w:t>
      </w:r>
      <w:r w:rsidR="007D3CA4">
        <w:rPr>
          <w:rFonts w:ascii="Arial" w:hAnsi="Arial" w:cs="Arial"/>
          <w:sz w:val="20"/>
          <w:szCs w:val="20"/>
        </w:rPr>
        <w:t>vypadá následovně</w:t>
      </w:r>
      <w:r w:rsidR="001E43FF" w:rsidRPr="00BC3B0C">
        <w:rPr>
          <w:rFonts w:ascii="Arial" w:hAnsi="Arial" w:cs="Arial"/>
          <w:sz w:val="20"/>
          <w:szCs w:val="20"/>
        </w:rPr>
        <w:t>:</w:t>
      </w:r>
    </w:p>
    <w:tbl>
      <w:tblPr>
        <w:tblStyle w:val="Mkatabulky"/>
        <w:tblW w:w="0" w:type="auto"/>
        <w:tblInd w:w="397" w:type="dxa"/>
        <w:tblLook w:val="04A0" w:firstRow="1" w:lastRow="0" w:firstColumn="1" w:lastColumn="0" w:noHBand="0" w:noVBand="1"/>
      </w:tblPr>
      <w:tblGrid>
        <w:gridCol w:w="9231"/>
      </w:tblGrid>
      <w:tr w:rsidR="007D3CA4" w:rsidRPr="004B3CDA" w14:paraId="28B63967" w14:textId="77777777" w:rsidTr="00435BA6">
        <w:tc>
          <w:tcPr>
            <w:tcW w:w="9628" w:type="dxa"/>
          </w:tcPr>
          <w:p w14:paraId="00ED3FD3" w14:textId="77777777" w:rsidR="007D3CA4" w:rsidRPr="004B3CDA" w:rsidRDefault="00AF4469" w:rsidP="004B3CDA">
            <w:pPr>
              <w:spacing w:after="120"/>
              <w:jc w:val="center"/>
              <w:rPr>
                <w:rFonts w:ascii="Arial" w:hAnsi="Arial" w:cs="Arial"/>
                <w:sz w:val="22"/>
                <w:szCs w:val="22"/>
              </w:rPr>
            </w:pPr>
            <w:r w:rsidRPr="004B3CDA">
              <w:rPr>
                <w:rFonts w:ascii="Arial" w:hAnsi="Arial" w:cs="Arial"/>
                <w:b/>
                <w:sz w:val="22"/>
                <w:szCs w:val="22"/>
              </w:rPr>
              <w:t>P = I + (C</w:t>
            </w:r>
            <w:r w:rsidRPr="004B3CDA">
              <w:rPr>
                <w:rFonts w:ascii="Arial" w:hAnsi="Arial" w:cs="Arial"/>
                <w:b/>
                <w:sz w:val="22"/>
                <w:szCs w:val="22"/>
                <w:vertAlign w:val="subscript"/>
              </w:rPr>
              <w:t>F PXE CZ BL CAL-</w:t>
            </w:r>
            <w:proofErr w:type="spellStart"/>
            <w:r w:rsidRPr="004B3CDA">
              <w:rPr>
                <w:rFonts w:ascii="Arial" w:hAnsi="Arial" w:cs="Arial"/>
                <w:b/>
                <w:sz w:val="22"/>
                <w:szCs w:val="22"/>
                <w:vertAlign w:val="subscript"/>
              </w:rPr>
              <w:t>ii</w:t>
            </w:r>
            <w:proofErr w:type="spellEnd"/>
            <w:r w:rsidRPr="004B3CDA">
              <w:rPr>
                <w:rFonts w:ascii="Arial" w:hAnsi="Arial" w:cs="Arial"/>
                <w:b/>
                <w:sz w:val="22"/>
                <w:szCs w:val="22"/>
                <w:vertAlign w:val="subscript"/>
              </w:rPr>
              <w:t xml:space="preserve"> </w:t>
            </w:r>
            <w:r w:rsidRPr="004B3CDA">
              <w:rPr>
                <w:rFonts w:ascii="Arial" w:hAnsi="Arial" w:cs="Arial"/>
                <w:b/>
                <w:sz w:val="22"/>
                <w:szCs w:val="22"/>
              </w:rPr>
              <w:t>× FX</w:t>
            </w:r>
            <w:r w:rsidRPr="004B3CDA">
              <w:rPr>
                <w:rFonts w:ascii="Arial" w:hAnsi="Arial" w:cs="Arial"/>
                <w:b/>
                <w:sz w:val="22"/>
                <w:szCs w:val="22"/>
                <w:vertAlign w:val="subscript"/>
              </w:rPr>
              <w:t>CZK/EUR (ČNB)</w:t>
            </w:r>
            <w:r w:rsidRPr="004B3CDA">
              <w:rPr>
                <w:rFonts w:ascii="Arial" w:hAnsi="Arial" w:cs="Arial"/>
                <w:b/>
                <w:sz w:val="22"/>
                <w:szCs w:val="22"/>
              </w:rPr>
              <w:t>) [Kč/</w:t>
            </w:r>
            <w:proofErr w:type="spellStart"/>
            <w:r w:rsidRPr="004B3CDA">
              <w:rPr>
                <w:rFonts w:ascii="Arial" w:hAnsi="Arial" w:cs="Arial"/>
                <w:b/>
                <w:sz w:val="22"/>
                <w:szCs w:val="22"/>
              </w:rPr>
              <w:t>MWh</w:t>
            </w:r>
            <w:proofErr w:type="spellEnd"/>
            <w:r w:rsidRPr="004B3CDA">
              <w:rPr>
                <w:rFonts w:ascii="Arial" w:hAnsi="Arial" w:cs="Arial"/>
                <w:b/>
                <w:sz w:val="22"/>
                <w:szCs w:val="22"/>
              </w:rPr>
              <w:t>]</w:t>
            </w:r>
          </w:p>
        </w:tc>
      </w:tr>
    </w:tbl>
    <w:p w14:paraId="71C4DD49" w14:textId="703C88ED" w:rsidR="00900150" w:rsidRDefault="00A9564D" w:rsidP="007D3CA4">
      <w:pPr>
        <w:spacing w:before="120" w:after="120"/>
        <w:ind w:left="397" w:hanging="397"/>
        <w:jc w:val="both"/>
        <w:rPr>
          <w:rFonts w:ascii="Arial" w:hAnsi="Arial" w:cs="Arial"/>
          <w:sz w:val="20"/>
          <w:szCs w:val="20"/>
        </w:rPr>
      </w:pPr>
      <w:r>
        <w:rPr>
          <w:rFonts w:ascii="Arial" w:hAnsi="Arial" w:cs="Arial"/>
          <w:sz w:val="20"/>
          <w:szCs w:val="20"/>
        </w:rPr>
        <w:t>5</w:t>
      </w:r>
      <w:r w:rsidR="007D3CA4">
        <w:rPr>
          <w:rFonts w:ascii="Arial" w:hAnsi="Arial" w:cs="Arial"/>
          <w:sz w:val="20"/>
          <w:szCs w:val="20"/>
        </w:rPr>
        <w:t>.</w:t>
      </w:r>
      <w:r w:rsidR="007D3CA4">
        <w:rPr>
          <w:rFonts w:ascii="Arial" w:hAnsi="Arial" w:cs="Arial"/>
          <w:sz w:val="20"/>
          <w:szCs w:val="20"/>
        </w:rPr>
        <w:tab/>
      </w:r>
      <w:r w:rsidR="007D3CA4" w:rsidRPr="00BC3B0C">
        <w:rPr>
          <w:rFonts w:ascii="Arial" w:hAnsi="Arial" w:cs="Arial"/>
          <w:sz w:val="20"/>
          <w:szCs w:val="20"/>
        </w:rPr>
        <w:t>Cenový vzorec s</w:t>
      </w:r>
      <w:r w:rsidR="007D3CA4">
        <w:rPr>
          <w:rFonts w:ascii="Arial" w:hAnsi="Arial" w:cs="Arial"/>
          <w:sz w:val="20"/>
          <w:szCs w:val="20"/>
        </w:rPr>
        <w:t>e</w:t>
      </w:r>
      <w:r w:rsidR="007D3CA4" w:rsidRPr="00BC3B0C">
        <w:rPr>
          <w:rFonts w:ascii="Arial" w:hAnsi="Arial" w:cs="Arial"/>
          <w:sz w:val="20"/>
          <w:szCs w:val="20"/>
        </w:rPr>
        <w:t> </w:t>
      </w:r>
      <w:r w:rsidR="007D3CA4">
        <w:rPr>
          <w:rFonts w:ascii="Arial" w:hAnsi="Arial" w:cs="Arial"/>
          <w:sz w:val="20"/>
          <w:szCs w:val="20"/>
        </w:rPr>
        <w:t xml:space="preserve">sčítacím </w:t>
      </w:r>
      <w:r w:rsidR="007D3CA4" w:rsidRPr="00BC3B0C">
        <w:rPr>
          <w:rFonts w:ascii="Arial" w:hAnsi="Arial" w:cs="Arial"/>
          <w:sz w:val="20"/>
          <w:szCs w:val="20"/>
        </w:rPr>
        <w:t>indexem</w:t>
      </w:r>
      <w:r w:rsidR="007D3CA4">
        <w:rPr>
          <w:rFonts w:ascii="Arial" w:hAnsi="Arial" w:cs="Arial"/>
          <w:sz w:val="20"/>
          <w:szCs w:val="20"/>
        </w:rPr>
        <w:t xml:space="preserve"> </w:t>
      </w:r>
      <w:r w:rsidR="00AF4469">
        <w:rPr>
          <w:rFonts w:ascii="Arial" w:hAnsi="Arial" w:cs="Arial"/>
          <w:sz w:val="20"/>
          <w:szCs w:val="20"/>
        </w:rPr>
        <w:t>soutěženým v </w:t>
      </w:r>
      <w:proofErr w:type="gramStart"/>
      <w:r w:rsidR="00AF4469">
        <w:rPr>
          <w:rFonts w:ascii="Arial" w:hAnsi="Arial" w:cs="Arial"/>
          <w:sz w:val="20"/>
          <w:szCs w:val="20"/>
        </w:rPr>
        <w:t>EUR</w:t>
      </w:r>
      <w:proofErr w:type="gramEnd"/>
      <w:r w:rsidR="00AF4469">
        <w:rPr>
          <w:rFonts w:ascii="Arial" w:hAnsi="Arial" w:cs="Arial"/>
          <w:sz w:val="20"/>
          <w:szCs w:val="20"/>
        </w:rPr>
        <w:t xml:space="preserve"> </w:t>
      </w:r>
      <w:r w:rsidR="007D3CA4">
        <w:rPr>
          <w:rFonts w:ascii="Arial" w:hAnsi="Arial" w:cs="Arial"/>
          <w:sz w:val="20"/>
          <w:szCs w:val="20"/>
        </w:rPr>
        <w:t>vypadá následovně</w:t>
      </w:r>
    </w:p>
    <w:tbl>
      <w:tblPr>
        <w:tblStyle w:val="Mkatabulky"/>
        <w:tblW w:w="0" w:type="auto"/>
        <w:tblInd w:w="397" w:type="dxa"/>
        <w:tblLook w:val="04A0" w:firstRow="1" w:lastRow="0" w:firstColumn="1" w:lastColumn="0" w:noHBand="0" w:noVBand="1"/>
      </w:tblPr>
      <w:tblGrid>
        <w:gridCol w:w="9231"/>
      </w:tblGrid>
      <w:tr w:rsidR="007D3CA4" w:rsidRPr="004B3CDA" w14:paraId="0F2824FE" w14:textId="77777777" w:rsidTr="00435BA6">
        <w:tc>
          <w:tcPr>
            <w:tcW w:w="9628" w:type="dxa"/>
          </w:tcPr>
          <w:p w14:paraId="286A400E" w14:textId="77777777" w:rsidR="007D3CA4" w:rsidRPr="004B3CDA" w:rsidRDefault="00AF4469" w:rsidP="004B3CDA">
            <w:pPr>
              <w:spacing w:after="120"/>
              <w:jc w:val="center"/>
              <w:rPr>
                <w:rFonts w:ascii="Arial" w:hAnsi="Arial" w:cs="Arial"/>
                <w:b/>
                <w:sz w:val="22"/>
                <w:szCs w:val="22"/>
              </w:rPr>
            </w:pPr>
            <w:r w:rsidRPr="004B3CDA">
              <w:rPr>
                <w:rFonts w:ascii="Arial" w:hAnsi="Arial" w:cs="Arial"/>
                <w:b/>
                <w:sz w:val="22"/>
                <w:szCs w:val="22"/>
              </w:rPr>
              <w:t>P = (I + C</w:t>
            </w:r>
            <w:r w:rsidRPr="004B3CDA">
              <w:rPr>
                <w:rFonts w:ascii="Arial" w:hAnsi="Arial" w:cs="Arial"/>
                <w:b/>
                <w:sz w:val="22"/>
                <w:szCs w:val="22"/>
                <w:vertAlign w:val="subscript"/>
              </w:rPr>
              <w:t>F PXE/EEX CZ BL CAL-</w:t>
            </w:r>
            <w:proofErr w:type="spellStart"/>
            <w:r w:rsidRPr="004B3CDA">
              <w:rPr>
                <w:rFonts w:ascii="Arial" w:hAnsi="Arial" w:cs="Arial"/>
                <w:b/>
                <w:sz w:val="22"/>
                <w:szCs w:val="22"/>
                <w:vertAlign w:val="subscript"/>
              </w:rPr>
              <w:t>ii</w:t>
            </w:r>
            <w:proofErr w:type="spellEnd"/>
            <w:r w:rsidRPr="004B3CDA">
              <w:rPr>
                <w:rFonts w:ascii="Arial" w:hAnsi="Arial" w:cs="Arial"/>
                <w:b/>
                <w:sz w:val="22"/>
                <w:szCs w:val="22"/>
                <w:vertAlign w:val="subscript"/>
              </w:rPr>
              <w:t xml:space="preserve"> </w:t>
            </w:r>
            <w:r w:rsidRPr="004B3CDA">
              <w:rPr>
                <w:rFonts w:ascii="Arial" w:hAnsi="Arial" w:cs="Arial"/>
                <w:b/>
                <w:sz w:val="22"/>
                <w:szCs w:val="22"/>
              </w:rPr>
              <w:t>× FX</w:t>
            </w:r>
            <w:r w:rsidRPr="004B3CDA">
              <w:rPr>
                <w:rFonts w:ascii="Arial" w:hAnsi="Arial" w:cs="Arial"/>
                <w:b/>
                <w:sz w:val="22"/>
                <w:szCs w:val="22"/>
                <w:vertAlign w:val="subscript"/>
              </w:rPr>
              <w:t>CZK/EUR (ČNB)</w:t>
            </w:r>
            <w:r w:rsidRPr="004B3CDA">
              <w:rPr>
                <w:rFonts w:ascii="Arial" w:hAnsi="Arial" w:cs="Arial"/>
                <w:b/>
                <w:sz w:val="22"/>
                <w:szCs w:val="22"/>
              </w:rPr>
              <w:t>) [Kč/</w:t>
            </w:r>
            <w:proofErr w:type="spellStart"/>
            <w:r w:rsidRPr="004B3CDA">
              <w:rPr>
                <w:rFonts w:ascii="Arial" w:hAnsi="Arial" w:cs="Arial"/>
                <w:b/>
                <w:sz w:val="22"/>
                <w:szCs w:val="22"/>
              </w:rPr>
              <w:t>MWh</w:t>
            </w:r>
            <w:proofErr w:type="spellEnd"/>
            <w:r w:rsidRPr="004B3CDA">
              <w:rPr>
                <w:rFonts w:ascii="Arial" w:hAnsi="Arial" w:cs="Arial"/>
                <w:b/>
                <w:sz w:val="22"/>
                <w:szCs w:val="22"/>
              </w:rPr>
              <w:t>]</w:t>
            </w:r>
          </w:p>
        </w:tc>
      </w:tr>
    </w:tbl>
    <w:p w14:paraId="03EA2AE2" w14:textId="5D5DD299" w:rsidR="001E43FF" w:rsidRPr="00BC3B0C" w:rsidRDefault="00A9564D" w:rsidP="00B778A3">
      <w:pPr>
        <w:spacing w:before="120" w:after="120"/>
        <w:ind w:left="397" w:hanging="397"/>
        <w:jc w:val="both"/>
        <w:rPr>
          <w:rFonts w:ascii="Arial" w:hAnsi="Arial" w:cs="Arial"/>
          <w:sz w:val="20"/>
          <w:szCs w:val="20"/>
        </w:rPr>
      </w:pPr>
      <w:r>
        <w:rPr>
          <w:rFonts w:ascii="Arial" w:hAnsi="Arial" w:cs="Arial"/>
          <w:sz w:val="20"/>
          <w:szCs w:val="20"/>
        </w:rPr>
        <w:t>6</w:t>
      </w:r>
      <w:r w:rsidR="007D3CA4">
        <w:rPr>
          <w:rFonts w:ascii="Arial" w:hAnsi="Arial" w:cs="Arial"/>
          <w:sz w:val="20"/>
          <w:szCs w:val="20"/>
        </w:rPr>
        <w:t>.</w:t>
      </w:r>
      <w:r w:rsidR="007D3CA4">
        <w:rPr>
          <w:rFonts w:ascii="Arial" w:hAnsi="Arial" w:cs="Arial"/>
          <w:sz w:val="20"/>
          <w:szCs w:val="20"/>
        </w:rPr>
        <w:tab/>
      </w:r>
      <w:r w:rsidR="0028379F" w:rsidRPr="00BC3B0C">
        <w:rPr>
          <w:rFonts w:ascii="Arial" w:hAnsi="Arial" w:cs="Arial"/>
          <w:sz w:val="20"/>
          <w:szCs w:val="20"/>
        </w:rPr>
        <w:t xml:space="preserve">Cenový vzorec </w:t>
      </w:r>
      <w:r w:rsidR="006324FB" w:rsidRPr="00BC3B0C">
        <w:rPr>
          <w:rFonts w:ascii="Arial" w:hAnsi="Arial" w:cs="Arial"/>
          <w:sz w:val="20"/>
          <w:szCs w:val="20"/>
        </w:rPr>
        <w:t>s násobným indexem</w:t>
      </w:r>
      <w:r w:rsidR="0028379F">
        <w:rPr>
          <w:rFonts w:ascii="Arial" w:hAnsi="Arial" w:cs="Arial"/>
          <w:sz w:val="20"/>
          <w:szCs w:val="20"/>
        </w:rPr>
        <w:t xml:space="preserve"> vypadá následovně</w:t>
      </w:r>
    </w:p>
    <w:tbl>
      <w:tblPr>
        <w:tblStyle w:val="Mkatabulky"/>
        <w:tblW w:w="0" w:type="auto"/>
        <w:tblInd w:w="397" w:type="dxa"/>
        <w:tblLook w:val="04A0" w:firstRow="1" w:lastRow="0" w:firstColumn="1" w:lastColumn="0" w:noHBand="0" w:noVBand="1"/>
      </w:tblPr>
      <w:tblGrid>
        <w:gridCol w:w="9231"/>
      </w:tblGrid>
      <w:tr w:rsidR="0028379F" w:rsidRPr="0028379F" w14:paraId="67E6C28D" w14:textId="77777777" w:rsidTr="00435BA6">
        <w:tc>
          <w:tcPr>
            <w:tcW w:w="9231" w:type="dxa"/>
          </w:tcPr>
          <w:p w14:paraId="39A41C84" w14:textId="77777777" w:rsidR="0028379F" w:rsidRPr="0028379F" w:rsidRDefault="0028379F" w:rsidP="0028379F">
            <w:pPr>
              <w:spacing w:after="120"/>
              <w:jc w:val="center"/>
              <w:rPr>
                <w:rFonts w:ascii="Arial" w:hAnsi="Arial" w:cs="Arial"/>
                <w:b/>
                <w:sz w:val="22"/>
                <w:szCs w:val="22"/>
              </w:rPr>
            </w:pPr>
            <w:r w:rsidRPr="0028379F">
              <w:rPr>
                <w:rFonts w:ascii="Arial" w:hAnsi="Arial" w:cs="Arial"/>
                <w:b/>
                <w:sz w:val="22"/>
              </w:rPr>
              <w:t>P = I × C</w:t>
            </w:r>
            <w:r w:rsidRPr="0028379F">
              <w:rPr>
                <w:rFonts w:ascii="Arial" w:hAnsi="Arial" w:cs="Arial"/>
                <w:b/>
                <w:sz w:val="22"/>
                <w:vertAlign w:val="subscript"/>
              </w:rPr>
              <w:t>F PXE/EEX CZ BL CAL-</w:t>
            </w:r>
            <w:proofErr w:type="spellStart"/>
            <w:r w:rsidRPr="0028379F">
              <w:rPr>
                <w:rFonts w:ascii="Arial" w:hAnsi="Arial" w:cs="Arial"/>
                <w:b/>
                <w:sz w:val="22"/>
                <w:vertAlign w:val="subscript"/>
              </w:rPr>
              <w:t>ii</w:t>
            </w:r>
            <w:proofErr w:type="spellEnd"/>
            <w:r w:rsidRPr="0028379F">
              <w:rPr>
                <w:rFonts w:ascii="Arial" w:hAnsi="Arial" w:cs="Arial"/>
                <w:b/>
                <w:sz w:val="22"/>
                <w:vertAlign w:val="subscript"/>
              </w:rPr>
              <w:t xml:space="preserve"> </w:t>
            </w:r>
            <w:r w:rsidRPr="0028379F">
              <w:rPr>
                <w:rFonts w:ascii="Arial" w:hAnsi="Arial" w:cs="Arial"/>
                <w:b/>
                <w:sz w:val="22"/>
              </w:rPr>
              <w:t>× FX</w:t>
            </w:r>
            <w:r w:rsidRPr="0028379F">
              <w:rPr>
                <w:rFonts w:ascii="Arial" w:hAnsi="Arial" w:cs="Arial"/>
                <w:b/>
                <w:sz w:val="22"/>
                <w:vertAlign w:val="subscript"/>
              </w:rPr>
              <w:t>CZK/EUR (ČNB)</w:t>
            </w:r>
            <w:r w:rsidRPr="0028379F">
              <w:rPr>
                <w:rFonts w:ascii="Arial" w:hAnsi="Arial" w:cs="Arial"/>
                <w:b/>
                <w:sz w:val="22"/>
              </w:rPr>
              <w:t xml:space="preserve"> [Kč/</w:t>
            </w:r>
            <w:proofErr w:type="spellStart"/>
            <w:r w:rsidRPr="0028379F">
              <w:rPr>
                <w:rFonts w:ascii="Arial" w:hAnsi="Arial" w:cs="Arial"/>
                <w:b/>
                <w:sz w:val="22"/>
              </w:rPr>
              <w:t>MWh</w:t>
            </w:r>
            <w:proofErr w:type="spellEnd"/>
            <w:r w:rsidRPr="0028379F">
              <w:rPr>
                <w:rFonts w:ascii="Arial" w:hAnsi="Arial" w:cs="Arial"/>
                <w:b/>
                <w:sz w:val="22"/>
              </w:rPr>
              <w:t>]</w:t>
            </w:r>
            <w:r w:rsidRPr="0028379F">
              <w:rPr>
                <w:rFonts w:ascii="Arial" w:hAnsi="Arial" w:cs="Arial"/>
                <w:b/>
                <w:sz w:val="22"/>
                <w:szCs w:val="22"/>
              </w:rPr>
              <w:tab/>
            </w:r>
          </w:p>
        </w:tc>
      </w:tr>
    </w:tbl>
    <w:p w14:paraId="1AC289D2" w14:textId="73652400" w:rsidR="007D3CA4" w:rsidRDefault="00A9564D" w:rsidP="007D3CA4">
      <w:pPr>
        <w:spacing w:before="120" w:after="120"/>
        <w:ind w:left="397" w:hanging="397"/>
        <w:jc w:val="both"/>
        <w:rPr>
          <w:rFonts w:ascii="Arial" w:hAnsi="Arial" w:cs="Arial"/>
          <w:sz w:val="20"/>
          <w:szCs w:val="20"/>
        </w:rPr>
      </w:pPr>
      <w:r>
        <w:rPr>
          <w:rFonts w:ascii="Arial" w:hAnsi="Arial" w:cs="Arial"/>
          <w:sz w:val="20"/>
          <w:szCs w:val="20"/>
        </w:rPr>
        <w:t>7</w:t>
      </w:r>
      <w:r w:rsidR="0028379F">
        <w:rPr>
          <w:rFonts w:ascii="Arial" w:hAnsi="Arial" w:cs="Arial"/>
          <w:sz w:val="20"/>
          <w:szCs w:val="20"/>
        </w:rPr>
        <w:t>.</w:t>
      </w:r>
      <w:r w:rsidR="0028379F">
        <w:rPr>
          <w:rFonts w:ascii="Arial" w:hAnsi="Arial" w:cs="Arial"/>
          <w:sz w:val="20"/>
          <w:szCs w:val="20"/>
        </w:rPr>
        <w:tab/>
      </w:r>
      <w:r w:rsidR="007D3CA4">
        <w:rPr>
          <w:rFonts w:ascii="Arial" w:hAnsi="Arial" w:cs="Arial"/>
          <w:sz w:val="20"/>
          <w:szCs w:val="20"/>
        </w:rPr>
        <w:t>Vysvětlivky k cenovým vzorcům:</w:t>
      </w:r>
    </w:p>
    <w:tbl>
      <w:tblPr>
        <w:tblStyle w:val="Mkatabulky"/>
        <w:tblW w:w="0" w:type="auto"/>
        <w:tblInd w:w="397" w:type="dxa"/>
        <w:tblLook w:val="04A0" w:firstRow="1" w:lastRow="0" w:firstColumn="1" w:lastColumn="0" w:noHBand="0" w:noVBand="1"/>
      </w:tblPr>
      <w:tblGrid>
        <w:gridCol w:w="9231"/>
      </w:tblGrid>
      <w:tr w:rsidR="007D3CA4" w:rsidRPr="004B3CDA" w14:paraId="06B16199" w14:textId="77777777" w:rsidTr="00435BA6">
        <w:tc>
          <w:tcPr>
            <w:tcW w:w="9628" w:type="dxa"/>
          </w:tcPr>
          <w:p w14:paraId="342DF4AA" w14:textId="77777777" w:rsidR="00200EF0" w:rsidRPr="004B3CDA" w:rsidRDefault="00200EF0" w:rsidP="00B46F0E">
            <w:pPr>
              <w:spacing w:after="60"/>
              <w:ind w:left="199"/>
              <w:jc w:val="both"/>
              <w:rPr>
                <w:rFonts w:ascii="Arial" w:hAnsi="Arial" w:cs="Arial"/>
                <w:sz w:val="18"/>
                <w:szCs w:val="18"/>
              </w:rPr>
            </w:pPr>
            <w:r w:rsidRPr="004B3CDA">
              <w:rPr>
                <w:rFonts w:ascii="Arial" w:hAnsi="Arial" w:cs="Arial"/>
                <w:b/>
                <w:sz w:val="18"/>
                <w:szCs w:val="18"/>
              </w:rPr>
              <w:t>P</w:t>
            </w:r>
            <w:r w:rsidRPr="004B3CDA">
              <w:rPr>
                <w:rFonts w:ascii="Arial" w:hAnsi="Arial" w:cs="Arial"/>
                <w:sz w:val="18"/>
                <w:szCs w:val="18"/>
              </w:rPr>
              <w:t xml:space="preserve"> – cena dodávky trakční elektrické energie pro příslušný kalendářní rok</w:t>
            </w:r>
          </w:p>
          <w:p w14:paraId="620FDA26" w14:textId="77777777" w:rsidR="00200EF0" w:rsidRPr="004B3CDA" w:rsidRDefault="00200EF0" w:rsidP="00B46F0E">
            <w:pPr>
              <w:spacing w:after="60"/>
              <w:ind w:left="199"/>
              <w:jc w:val="both"/>
              <w:rPr>
                <w:rFonts w:ascii="Arial" w:hAnsi="Arial" w:cs="Arial"/>
                <w:sz w:val="18"/>
                <w:szCs w:val="18"/>
              </w:rPr>
            </w:pPr>
            <w:r w:rsidRPr="004B3CDA">
              <w:rPr>
                <w:rFonts w:ascii="Arial" w:hAnsi="Arial" w:cs="Arial"/>
                <w:b/>
                <w:sz w:val="18"/>
                <w:szCs w:val="18"/>
              </w:rPr>
              <w:lastRenderedPageBreak/>
              <w:t>I</w:t>
            </w:r>
            <w:r w:rsidRPr="004B3CDA">
              <w:rPr>
                <w:rFonts w:ascii="Arial" w:hAnsi="Arial" w:cs="Arial"/>
                <w:sz w:val="18"/>
                <w:szCs w:val="18"/>
              </w:rPr>
              <w:t xml:space="preserve"> – cenový index, který odráží tvar diagramu, převzetí odpovědnosti za odchylku a obchodní marži, resp. cenu za službu a je hodnoticím kritériem výběru dodavatele (aukce na komoditní burze)</w:t>
            </w:r>
          </w:p>
          <w:p w14:paraId="1530CD15" w14:textId="01E26A46" w:rsidR="00AF4469" w:rsidRPr="004B3CDA" w:rsidRDefault="00AF4469" w:rsidP="00B46F0E">
            <w:pPr>
              <w:spacing w:after="60"/>
              <w:ind w:left="198"/>
              <w:jc w:val="both"/>
              <w:rPr>
                <w:rFonts w:ascii="Arial" w:hAnsi="Arial" w:cs="Arial"/>
                <w:sz w:val="18"/>
                <w:szCs w:val="18"/>
              </w:rPr>
            </w:pPr>
            <w:r w:rsidRPr="004B3CDA">
              <w:rPr>
                <w:rFonts w:ascii="Arial" w:hAnsi="Arial" w:cs="Arial"/>
                <w:b/>
                <w:sz w:val="18"/>
                <w:szCs w:val="18"/>
              </w:rPr>
              <w:t>C</w:t>
            </w:r>
            <w:r w:rsidRPr="004B3CDA">
              <w:rPr>
                <w:rFonts w:ascii="Arial" w:hAnsi="Arial" w:cs="Arial"/>
                <w:b/>
                <w:sz w:val="18"/>
                <w:szCs w:val="18"/>
                <w:vertAlign w:val="subscript"/>
              </w:rPr>
              <w:t>F PXE CZ BL CAL-</w:t>
            </w:r>
            <w:proofErr w:type="spellStart"/>
            <w:r w:rsidRPr="004B3CDA">
              <w:rPr>
                <w:rFonts w:ascii="Arial" w:hAnsi="Arial" w:cs="Arial"/>
                <w:b/>
                <w:sz w:val="18"/>
                <w:szCs w:val="18"/>
                <w:vertAlign w:val="subscript"/>
              </w:rPr>
              <w:t>ii</w:t>
            </w:r>
            <w:proofErr w:type="spellEnd"/>
            <w:r w:rsidRPr="004B3CDA">
              <w:rPr>
                <w:rFonts w:ascii="Arial" w:hAnsi="Arial" w:cs="Arial"/>
                <w:sz w:val="18"/>
                <w:szCs w:val="18"/>
                <w:vertAlign w:val="subscript"/>
              </w:rPr>
              <w:t xml:space="preserve"> </w:t>
            </w:r>
            <w:r w:rsidRPr="004B3CDA">
              <w:rPr>
                <w:rFonts w:ascii="Arial" w:hAnsi="Arial" w:cs="Arial"/>
                <w:sz w:val="18"/>
                <w:szCs w:val="18"/>
              </w:rPr>
              <w:t>– závěrečný kurz produktu „F PXE CZ BL CAL-</w:t>
            </w:r>
            <w:proofErr w:type="spellStart"/>
            <w:r w:rsidRPr="004B3CDA">
              <w:rPr>
                <w:rFonts w:ascii="Arial" w:hAnsi="Arial" w:cs="Arial"/>
                <w:sz w:val="18"/>
                <w:szCs w:val="18"/>
              </w:rPr>
              <w:t>ii</w:t>
            </w:r>
            <w:proofErr w:type="spellEnd"/>
            <w:r w:rsidRPr="004B3CDA">
              <w:rPr>
                <w:rFonts w:ascii="Arial" w:hAnsi="Arial" w:cs="Arial"/>
                <w:sz w:val="18"/>
                <w:szCs w:val="18"/>
              </w:rPr>
              <w:t>“ na PXE (EUR/</w:t>
            </w:r>
            <w:proofErr w:type="spellStart"/>
            <w:r w:rsidRPr="004B3CDA">
              <w:rPr>
                <w:rFonts w:ascii="Arial" w:hAnsi="Arial" w:cs="Arial"/>
                <w:sz w:val="18"/>
                <w:szCs w:val="18"/>
              </w:rPr>
              <w:t>MWh</w:t>
            </w:r>
            <w:proofErr w:type="spellEnd"/>
            <w:r w:rsidRPr="004B3CDA">
              <w:rPr>
                <w:rFonts w:ascii="Arial" w:hAnsi="Arial" w:cs="Arial"/>
                <w:sz w:val="18"/>
                <w:szCs w:val="18"/>
              </w:rPr>
              <w:t xml:space="preserve">) z předchozího obchodního dne, ve kterém se </w:t>
            </w:r>
            <w:r w:rsidR="00962707">
              <w:rPr>
                <w:rFonts w:ascii="Arial" w:hAnsi="Arial" w:cs="Arial"/>
                <w:sz w:val="18"/>
                <w:szCs w:val="18"/>
              </w:rPr>
              <w:t>provozovatel</w:t>
            </w:r>
            <w:r w:rsidRPr="004B3CDA">
              <w:rPr>
                <w:rFonts w:ascii="Arial" w:hAnsi="Arial" w:cs="Arial"/>
                <w:sz w:val="18"/>
                <w:szCs w:val="18"/>
              </w:rPr>
              <w:t xml:space="preserve"> rozhodne nakoupit trakční elektrickou energii.</w:t>
            </w:r>
          </w:p>
          <w:p w14:paraId="0C3859FA" w14:textId="77777777" w:rsidR="00AF4469" w:rsidRPr="004B3CDA" w:rsidRDefault="00AF4469" w:rsidP="00B46F0E">
            <w:pPr>
              <w:spacing w:after="60"/>
              <w:ind w:left="199"/>
              <w:jc w:val="both"/>
              <w:rPr>
                <w:rFonts w:ascii="Arial" w:hAnsi="Arial" w:cs="Arial"/>
                <w:sz w:val="18"/>
                <w:szCs w:val="18"/>
              </w:rPr>
            </w:pPr>
            <w:r w:rsidRPr="004B3CDA">
              <w:rPr>
                <w:rFonts w:ascii="Arial" w:hAnsi="Arial" w:cs="Arial"/>
                <w:b/>
                <w:sz w:val="18"/>
                <w:szCs w:val="18"/>
              </w:rPr>
              <w:t>C</w:t>
            </w:r>
            <w:r w:rsidRPr="004B3CDA">
              <w:rPr>
                <w:rFonts w:ascii="Arial" w:hAnsi="Arial" w:cs="Arial"/>
                <w:b/>
                <w:sz w:val="18"/>
                <w:szCs w:val="18"/>
                <w:vertAlign w:val="subscript"/>
              </w:rPr>
              <w:t>F PXE/EEX CZ BL CAL-</w:t>
            </w:r>
            <w:proofErr w:type="spellStart"/>
            <w:r w:rsidRPr="004B3CDA">
              <w:rPr>
                <w:rFonts w:ascii="Arial" w:hAnsi="Arial" w:cs="Arial"/>
                <w:b/>
                <w:sz w:val="18"/>
                <w:szCs w:val="18"/>
                <w:vertAlign w:val="subscript"/>
              </w:rPr>
              <w:t>ii</w:t>
            </w:r>
            <w:proofErr w:type="spellEnd"/>
            <w:r w:rsidRPr="004B3CDA">
              <w:rPr>
                <w:rFonts w:ascii="Arial" w:hAnsi="Arial" w:cs="Arial"/>
                <w:sz w:val="18"/>
                <w:szCs w:val="18"/>
                <w:vertAlign w:val="subscript"/>
              </w:rPr>
              <w:t xml:space="preserve"> </w:t>
            </w:r>
            <w:r w:rsidRPr="004B3CDA">
              <w:rPr>
                <w:rFonts w:ascii="Arial" w:hAnsi="Arial" w:cs="Arial"/>
                <w:sz w:val="18"/>
                <w:szCs w:val="18"/>
              </w:rPr>
              <w:t>– závěrečný kurz produktu „F PXE/EEX CZ BL CAL-</w:t>
            </w:r>
            <w:proofErr w:type="spellStart"/>
            <w:r w:rsidRPr="004B3CDA">
              <w:rPr>
                <w:rFonts w:ascii="Arial" w:hAnsi="Arial" w:cs="Arial"/>
                <w:sz w:val="18"/>
                <w:szCs w:val="18"/>
              </w:rPr>
              <w:t>ii</w:t>
            </w:r>
            <w:proofErr w:type="spellEnd"/>
            <w:r w:rsidRPr="004B3CDA">
              <w:rPr>
                <w:rFonts w:ascii="Arial" w:hAnsi="Arial" w:cs="Arial"/>
                <w:sz w:val="18"/>
                <w:szCs w:val="18"/>
              </w:rPr>
              <w:t>“ na PXE (EUR/</w:t>
            </w:r>
            <w:proofErr w:type="spellStart"/>
            <w:r w:rsidRPr="004B3CDA">
              <w:rPr>
                <w:rFonts w:ascii="Arial" w:hAnsi="Arial" w:cs="Arial"/>
                <w:sz w:val="18"/>
                <w:szCs w:val="18"/>
              </w:rPr>
              <w:t>MWh</w:t>
            </w:r>
            <w:proofErr w:type="spellEnd"/>
            <w:r w:rsidRPr="004B3CDA">
              <w:rPr>
                <w:rFonts w:ascii="Arial" w:hAnsi="Arial" w:cs="Arial"/>
                <w:sz w:val="18"/>
                <w:szCs w:val="18"/>
              </w:rPr>
              <w:t xml:space="preserve">) nebo EEX z předchozího obchodního dne, ve kterém se </w:t>
            </w:r>
            <w:r>
              <w:rPr>
                <w:rFonts w:ascii="Arial" w:hAnsi="Arial" w:cs="Arial"/>
                <w:sz w:val="18"/>
                <w:szCs w:val="18"/>
              </w:rPr>
              <w:t>provozovatel</w:t>
            </w:r>
            <w:r w:rsidRPr="004B3CDA">
              <w:rPr>
                <w:rFonts w:ascii="Arial" w:hAnsi="Arial" w:cs="Arial"/>
                <w:sz w:val="18"/>
                <w:szCs w:val="18"/>
              </w:rPr>
              <w:t xml:space="preserve"> rozhodne nakoupit trakční elektrickou energii.</w:t>
            </w:r>
          </w:p>
          <w:p w14:paraId="68E079E6" w14:textId="6613BAFF" w:rsidR="007D3CA4" w:rsidRPr="004B3CDA" w:rsidRDefault="00200EF0" w:rsidP="00B46F0E">
            <w:pPr>
              <w:spacing w:after="60"/>
              <w:ind w:left="199"/>
              <w:jc w:val="both"/>
              <w:rPr>
                <w:rFonts w:ascii="Arial" w:hAnsi="Arial" w:cs="Arial"/>
                <w:sz w:val="18"/>
                <w:szCs w:val="18"/>
              </w:rPr>
            </w:pPr>
            <w:r w:rsidRPr="004B3CDA">
              <w:rPr>
                <w:rFonts w:ascii="Arial" w:hAnsi="Arial" w:cs="Arial"/>
                <w:b/>
                <w:sz w:val="18"/>
                <w:szCs w:val="18"/>
              </w:rPr>
              <w:t>FX</w:t>
            </w:r>
            <w:r w:rsidRPr="004B3CDA">
              <w:rPr>
                <w:rFonts w:ascii="Arial" w:hAnsi="Arial" w:cs="Arial"/>
                <w:b/>
                <w:sz w:val="18"/>
                <w:szCs w:val="18"/>
                <w:vertAlign w:val="subscript"/>
              </w:rPr>
              <w:t>CZK/EUR(ČNB)</w:t>
            </w:r>
            <w:r w:rsidRPr="004B3CDA">
              <w:rPr>
                <w:rFonts w:ascii="Arial" w:hAnsi="Arial" w:cs="Arial"/>
                <w:sz w:val="18"/>
                <w:szCs w:val="18"/>
                <w:vertAlign w:val="subscript"/>
              </w:rPr>
              <w:t xml:space="preserve"> </w:t>
            </w:r>
            <w:r w:rsidRPr="004B3CDA">
              <w:rPr>
                <w:rFonts w:ascii="Arial" w:hAnsi="Arial" w:cs="Arial"/>
                <w:sz w:val="18"/>
                <w:szCs w:val="18"/>
              </w:rPr>
              <w:t xml:space="preserve">– kurz CZK/EUR dle ČNB – střed devizového kurzu v předchozím dni, ve kterém se </w:t>
            </w:r>
            <w:r w:rsidR="00677A38">
              <w:rPr>
                <w:rFonts w:ascii="Arial" w:hAnsi="Arial" w:cs="Arial"/>
                <w:sz w:val="18"/>
                <w:szCs w:val="18"/>
              </w:rPr>
              <w:t>provozovatel</w:t>
            </w:r>
            <w:r w:rsidRPr="004B3CDA">
              <w:rPr>
                <w:rFonts w:ascii="Arial" w:hAnsi="Arial" w:cs="Arial"/>
                <w:sz w:val="18"/>
                <w:szCs w:val="18"/>
              </w:rPr>
              <w:t xml:space="preserve"> rozhodne nakoupit trakční elektrickou energii</w:t>
            </w:r>
            <w:r w:rsidR="0028379F">
              <w:rPr>
                <w:rFonts w:ascii="Arial" w:hAnsi="Arial" w:cs="Arial"/>
                <w:sz w:val="18"/>
                <w:szCs w:val="18"/>
              </w:rPr>
              <w:t>.</w:t>
            </w:r>
          </w:p>
        </w:tc>
      </w:tr>
    </w:tbl>
    <w:p w14:paraId="1F965B72" w14:textId="0A230DD6" w:rsidR="001E43FF" w:rsidRPr="00BC3B0C" w:rsidRDefault="00A9564D" w:rsidP="00B778A3">
      <w:pPr>
        <w:spacing w:before="120" w:after="120"/>
        <w:ind w:left="397" w:hanging="397"/>
        <w:jc w:val="both"/>
        <w:rPr>
          <w:rFonts w:ascii="Arial" w:hAnsi="Arial" w:cs="Arial"/>
          <w:sz w:val="20"/>
          <w:szCs w:val="20"/>
        </w:rPr>
      </w:pPr>
      <w:r>
        <w:rPr>
          <w:rFonts w:ascii="Arial" w:hAnsi="Arial" w:cs="Arial"/>
          <w:sz w:val="20"/>
          <w:szCs w:val="20"/>
        </w:rPr>
        <w:lastRenderedPageBreak/>
        <w:t>8</w:t>
      </w:r>
      <w:r w:rsidR="005B7849" w:rsidRPr="00BC3B0C">
        <w:rPr>
          <w:rFonts w:ascii="Arial" w:hAnsi="Arial" w:cs="Arial"/>
          <w:sz w:val="20"/>
          <w:szCs w:val="20"/>
        </w:rPr>
        <w:t>.</w:t>
      </w:r>
      <w:r w:rsidR="005B7849" w:rsidRPr="00BC3B0C">
        <w:rPr>
          <w:rFonts w:ascii="Arial" w:hAnsi="Arial" w:cs="Arial"/>
          <w:sz w:val="20"/>
          <w:szCs w:val="20"/>
        </w:rPr>
        <w:tab/>
      </w:r>
      <w:r w:rsidR="00A54CA2">
        <w:rPr>
          <w:rFonts w:ascii="Arial" w:hAnsi="Arial" w:cs="Arial"/>
          <w:sz w:val="20"/>
          <w:szCs w:val="20"/>
        </w:rPr>
        <w:t>Dopravce bere na vědomí, že provozovatel</w:t>
      </w:r>
      <w:r w:rsidR="005B7849" w:rsidRPr="00BC3B0C">
        <w:rPr>
          <w:rFonts w:ascii="Arial" w:hAnsi="Arial" w:cs="Arial"/>
          <w:sz w:val="20"/>
          <w:szCs w:val="20"/>
        </w:rPr>
        <w:t xml:space="preserve"> </w:t>
      </w:r>
      <w:r w:rsidR="001E43FF" w:rsidRPr="00BC3B0C">
        <w:rPr>
          <w:rFonts w:ascii="Arial" w:hAnsi="Arial" w:cs="Arial"/>
          <w:sz w:val="20"/>
          <w:szCs w:val="20"/>
        </w:rPr>
        <w:t xml:space="preserve">zvolí </w:t>
      </w:r>
      <w:r w:rsidR="00A54CA2">
        <w:rPr>
          <w:rFonts w:ascii="Arial" w:hAnsi="Arial" w:cs="Arial"/>
          <w:sz w:val="20"/>
          <w:szCs w:val="20"/>
        </w:rPr>
        <w:t>okamžiky</w:t>
      </w:r>
      <w:r w:rsidR="001E43FF" w:rsidRPr="00BC3B0C">
        <w:rPr>
          <w:rFonts w:ascii="Arial" w:hAnsi="Arial" w:cs="Arial"/>
          <w:sz w:val="20"/>
          <w:szCs w:val="20"/>
        </w:rPr>
        <w:t xml:space="preserve"> nákupu trakční elektrické energie. Tyto </w:t>
      </w:r>
      <w:r w:rsidR="00A54CA2">
        <w:rPr>
          <w:rFonts w:ascii="Arial" w:hAnsi="Arial" w:cs="Arial"/>
          <w:sz w:val="20"/>
          <w:szCs w:val="20"/>
        </w:rPr>
        <w:t>okamžiky</w:t>
      </w:r>
      <w:r w:rsidR="001E43FF" w:rsidRPr="00BC3B0C">
        <w:rPr>
          <w:rFonts w:ascii="Arial" w:hAnsi="Arial" w:cs="Arial"/>
          <w:sz w:val="20"/>
          <w:szCs w:val="20"/>
        </w:rPr>
        <w:t xml:space="preserve"> budou probíhat od </w:t>
      </w:r>
      <w:r w:rsidR="00A54CA2">
        <w:rPr>
          <w:rFonts w:ascii="Arial" w:hAnsi="Arial" w:cs="Arial"/>
          <w:sz w:val="20"/>
          <w:szCs w:val="20"/>
        </w:rPr>
        <w:t>uzavření</w:t>
      </w:r>
      <w:r w:rsidR="001E43FF" w:rsidRPr="00BC3B0C">
        <w:rPr>
          <w:rFonts w:ascii="Arial" w:hAnsi="Arial" w:cs="Arial"/>
          <w:sz w:val="20"/>
          <w:szCs w:val="20"/>
        </w:rPr>
        <w:t xml:space="preserve"> příslušné smlouvy o dodávce s</w:t>
      </w:r>
      <w:r w:rsidR="0071329A" w:rsidRPr="00BC3B0C">
        <w:rPr>
          <w:rFonts w:ascii="Arial" w:hAnsi="Arial" w:cs="Arial"/>
          <w:sz w:val="20"/>
          <w:szCs w:val="20"/>
        </w:rPr>
        <w:t> </w:t>
      </w:r>
      <w:proofErr w:type="spellStart"/>
      <w:r w:rsidR="0071329A" w:rsidRPr="00BC3B0C">
        <w:rPr>
          <w:rFonts w:ascii="Arial" w:hAnsi="Arial" w:cs="Arial"/>
          <w:sz w:val="20"/>
          <w:szCs w:val="20"/>
        </w:rPr>
        <w:t>vysoutěženým</w:t>
      </w:r>
      <w:proofErr w:type="spellEnd"/>
      <w:r w:rsidR="0071329A" w:rsidRPr="00BC3B0C">
        <w:rPr>
          <w:rFonts w:ascii="Arial" w:hAnsi="Arial" w:cs="Arial"/>
          <w:sz w:val="20"/>
          <w:szCs w:val="20"/>
        </w:rPr>
        <w:t xml:space="preserve"> </w:t>
      </w:r>
      <w:r w:rsidR="001E43FF" w:rsidRPr="00BC3B0C">
        <w:rPr>
          <w:rFonts w:ascii="Arial" w:hAnsi="Arial" w:cs="Arial"/>
          <w:sz w:val="20"/>
          <w:szCs w:val="20"/>
        </w:rPr>
        <w:t xml:space="preserve">dodavatelem trakční elektrické energie až do </w:t>
      </w:r>
      <w:r w:rsidR="00975F45" w:rsidRPr="00B778A3">
        <w:rPr>
          <w:rFonts w:ascii="Arial" w:hAnsi="Arial" w:cs="Arial"/>
          <w:sz w:val="20"/>
          <w:szCs w:val="20"/>
        </w:rPr>
        <w:t>15. 12</w:t>
      </w:r>
      <w:r w:rsidR="001E43FF" w:rsidRPr="00B778A3">
        <w:rPr>
          <w:rFonts w:ascii="Arial" w:hAnsi="Arial" w:cs="Arial"/>
          <w:sz w:val="20"/>
          <w:szCs w:val="20"/>
        </w:rPr>
        <w:t>.</w:t>
      </w:r>
      <w:r w:rsidR="001E43FF" w:rsidRPr="00BC3B0C">
        <w:rPr>
          <w:rFonts w:ascii="Arial" w:hAnsi="Arial" w:cs="Arial"/>
          <w:sz w:val="20"/>
          <w:szCs w:val="20"/>
        </w:rPr>
        <w:t xml:space="preserve"> roku</w:t>
      </w:r>
      <w:r w:rsidR="005B7849" w:rsidRPr="00BC3B0C">
        <w:rPr>
          <w:rFonts w:ascii="Arial" w:hAnsi="Arial" w:cs="Arial"/>
          <w:sz w:val="20"/>
          <w:szCs w:val="20"/>
        </w:rPr>
        <w:t>, který předchází</w:t>
      </w:r>
      <w:r w:rsidR="001E43FF" w:rsidRPr="00BC3B0C">
        <w:rPr>
          <w:rFonts w:ascii="Arial" w:hAnsi="Arial" w:cs="Arial"/>
          <w:sz w:val="20"/>
          <w:szCs w:val="20"/>
        </w:rPr>
        <w:t xml:space="preserve"> roku dodávky</w:t>
      </w:r>
      <w:r w:rsidR="005B7849" w:rsidRPr="00BC3B0C">
        <w:rPr>
          <w:rFonts w:ascii="Arial" w:hAnsi="Arial" w:cs="Arial"/>
          <w:sz w:val="20"/>
          <w:szCs w:val="20"/>
        </w:rPr>
        <w:t xml:space="preserve"> trakční elektrické energie tímto dodavatelem provozovateli</w:t>
      </w:r>
      <w:r w:rsidR="001E43FF" w:rsidRPr="00BC3B0C">
        <w:rPr>
          <w:rFonts w:ascii="Arial" w:hAnsi="Arial" w:cs="Arial"/>
          <w:sz w:val="20"/>
          <w:szCs w:val="20"/>
        </w:rPr>
        <w:t>.</w:t>
      </w:r>
    </w:p>
    <w:p w14:paraId="663ED7BD" w14:textId="1DF9B1FE" w:rsidR="005B7849" w:rsidRPr="00BC3B0C" w:rsidRDefault="00A9564D" w:rsidP="0033650E">
      <w:pPr>
        <w:spacing w:after="120"/>
        <w:ind w:left="397" w:hanging="397"/>
        <w:jc w:val="both"/>
        <w:rPr>
          <w:rFonts w:ascii="Arial" w:hAnsi="Arial" w:cs="Arial"/>
          <w:sz w:val="20"/>
          <w:szCs w:val="20"/>
        </w:rPr>
      </w:pPr>
      <w:r>
        <w:rPr>
          <w:rFonts w:ascii="Arial" w:hAnsi="Arial" w:cs="Arial"/>
          <w:sz w:val="20"/>
          <w:szCs w:val="20"/>
        </w:rPr>
        <w:t>9</w:t>
      </w:r>
      <w:r w:rsidR="005B7849" w:rsidRPr="00BC3B0C">
        <w:rPr>
          <w:rFonts w:ascii="Arial" w:hAnsi="Arial" w:cs="Arial"/>
          <w:sz w:val="20"/>
          <w:szCs w:val="20"/>
        </w:rPr>
        <w:t>.</w:t>
      </w:r>
      <w:r w:rsidR="005B7849" w:rsidRPr="00BC3B0C">
        <w:rPr>
          <w:rFonts w:ascii="Arial" w:hAnsi="Arial" w:cs="Arial"/>
          <w:sz w:val="20"/>
          <w:szCs w:val="20"/>
        </w:rPr>
        <w:tab/>
        <w:t xml:space="preserve">Výsledná cena za dodávku celkového </w:t>
      </w:r>
      <w:r w:rsidR="00171262">
        <w:rPr>
          <w:rFonts w:ascii="Arial" w:hAnsi="Arial" w:cs="Arial"/>
          <w:sz w:val="20"/>
          <w:szCs w:val="20"/>
        </w:rPr>
        <w:t>objemu</w:t>
      </w:r>
      <w:r w:rsidR="00171262" w:rsidRPr="00BC3B0C">
        <w:rPr>
          <w:rFonts w:ascii="Arial" w:hAnsi="Arial" w:cs="Arial"/>
          <w:sz w:val="20"/>
          <w:szCs w:val="20"/>
        </w:rPr>
        <w:t xml:space="preserve"> </w:t>
      </w:r>
      <w:r w:rsidR="005B7849" w:rsidRPr="00BC3B0C">
        <w:rPr>
          <w:rFonts w:ascii="Arial" w:hAnsi="Arial" w:cs="Arial"/>
          <w:sz w:val="20"/>
          <w:szCs w:val="20"/>
        </w:rPr>
        <w:t xml:space="preserve">trakční elektrické energie dodavatelem provozovateli se </w:t>
      </w:r>
      <w:r w:rsidR="00171262">
        <w:rPr>
          <w:rFonts w:ascii="Arial" w:hAnsi="Arial" w:cs="Arial"/>
          <w:sz w:val="20"/>
          <w:szCs w:val="20"/>
        </w:rPr>
        <w:t xml:space="preserve">na </w:t>
      </w:r>
      <w:r w:rsidR="00E748CA">
        <w:rPr>
          <w:rFonts w:ascii="Arial" w:hAnsi="Arial" w:cs="Arial"/>
          <w:sz w:val="20"/>
          <w:szCs w:val="20"/>
        </w:rPr>
        <w:t>každý</w:t>
      </w:r>
      <w:r w:rsidR="00171262">
        <w:rPr>
          <w:rFonts w:ascii="Arial" w:hAnsi="Arial" w:cs="Arial"/>
          <w:sz w:val="20"/>
          <w:szCs w:val="20"/>
        </w:rPr>
        <w:t xml:space="preserve"> </w:t>
      </w:r>
      <w:r w:rsidR="00D33C2F">
        <w:rPr>
          <w:rFonts w:ascii="Arial" w:hAnsi="Arial" w:cs="Arial"/>
          <w:sz w:val="20"/>
          <w:szCs w:val="20"/>
        </w:rPr>
        <w:t xml:space="preserve">rok účinnosti této smlouvy o dodávkách následující po roce </w:t>
      </w:r>
      <w:r w:rsidR="00C038BE">
        <w:rPr>
          <w:rFonts w:ascii="Arial" w:hAnsi="Arial" w:cs="Arial"/>
          <w:sz w:val="20"/>
          <w:szCs w:val="20"/>
        </w:rPr>
        <w:t>[</w:t>
      </w:r>
      <w:r w:rsidR="00C038BE" w:rsidRPr="00C038BE">
        <w:rPr>
          <w:rFonts w:ascii="Arial" w:hAnsi="Arial" w:cs="Arial"/>
          <w:sz w:val="20"/>
          <w:szCs w:val="20"/>
          <w:highlight w:val="yellow"/>
        </w:rPr>
        <w:t>bude doplněn rok účinnost</w:t>
      </w:r>
      <w:r w:rsidR="00C038BE">
        <w:rPr>
          <w:rFonts w:ascii="Arial" w:hAnsi="Arial" w:cs="Arial"/>
          <w:sz w:val="20"/>
          <w:szCs w:val="20"/>
          <w:highlight w:val="yellow"/>
        </w:rPr>
        <w:t>i</w:t>
      </w:r>
      <w:r w:rsidR="00C038BE" w:rsidRPr="00C038BE">
        <w:rPr>
          <w:rFonts w:ascii="Arial" w:hAnsi="Arial" w:cs="Arial"/>
          <w:sz w:val="20"/>
          <w:szCs w:val="20"/>
          <w:highlight w:val="yellow"/>
        </w:rPr>
        <w:t xml:space="preserve"> této smlouvy o dodávkách</w:t>
      </w:r>
      <w:r w:rsidR="00C038BE">
        <w:rPr>
          <w:rFonts w:ascii="Arial" w:hAnsi="Arial" w:cs="Arial"/>
          <w:sz w:val="20"/>
          <w:szCs w:val="20"/>
        </w:rPr>
        <w:t>]</w:t>
      </w:r>
      <w:r w:rsidR="00171262">
        <w:rPr>
          <w:rFonts w:ascii="Arial" w:hAnsi="Arial" w:cs="Arial"/>
          <w:sz w:val="20"/>
          <w:szCs w:val="20"/>
        </w:rPr>
        <w:t xml:space="preserve"> spočítá</w:t>
      </w:r>
      <w:r w:rsidR="005B7849" w:rsidRPr="00BC3B0C">
        <w:rPr>
          <w:rFonts w:ascii="Arial" w:hAnsi="Arial" w:cs="Arial"/>
          <w:sz w:val="20"/>
          <w:szCs w:val="20"/>
        </w:rPr>
        <w:t xml:space="preserve"> jako vážený průměr cen nákupu v jednotlivých dílčích nákupních krocích stanovených dle výše uvedeného </w:t>
      </w:r>
      <w:r w:rsidR="00200EF0">
        <w:rPr>
          <w:rFonts w:ascii="Arial" w:hAnsi="Arial" w:cs="Arial"/>
          <w:sz w:val="20"/>
          <w:szCs w:val="20"/>
        </w:rPr>
        <w:t xml:space="preserve">cenového </w:t>
      </w:r>
      <w:r w:rsidR="005B7849" w:rsidRPr="00BC3B0C">
        <w:rPr>
          <w:rFonts w:ascii="Arial" w:hAnsi="Arial" w:cs="Arial"/>
          <w:sz w:val="20"/>
          <w:szCs w:val="20"/>
        </w:rPr>
        <w:t>vzorce</w:t>
      </w:r>
      <w:r w:rsidR="00200EF0">
        <w:rPr>
          <w:rFonts w:ascii="Arial" w:hAnsi="Arial" w:cs="Arial"/>
          <w:sz w:val="20"/>
          <w:szCs w:val="20"/>
        </w:rPr>
        <w:t xml:space="preserve"> s</w:t>
      </w:r>
      <w:r w:rsidR="00975F45">
        <w:rPr>
          <w:rFonts w:ascii="Arial" w:hAnsi="Arial" w:cs="Arial"/>
          <w:sz w:val="20"/>
          <w:szCs w:val="20"/>
        </w:rPr>
        <w:t>e</w:t>
      </w:r>
      <w:r w:rsidR="00200EF0">
        <w:rPr>
          <w:rFonts w:ascii="Arial" w:hAnsi="Arial" w:cs="Arial"/>
          <w:sz w:val="20"/>
          <w:szCs w:val="20"/>
        </w:rPr>
        <w:t xml:space="preserve"> sčítacím </w:t>
      </w:r>
      <w:r w:rsidR="00E748CA">
        <w:rPr>
          <w:rFonts w:ascii="Arial" w:hAnsi="Arial" w:cs="Arial"/>
          <w:sz w:val="20"/>
          <w:szCs w:val="20"/>
        </w:rPr>
        <w:t xml:space="preserve">nebo násobným </w:t>
      </w:r>
      <w:r w:rsidR="00200EF0">
        <w:rPr>
          <w:rFonts w:ascii="Arial" w:hAnsi="Arial" w:cs="Arial"/>
          <w:sz w:val="20"/>
          <w:szCs w:val="20"/>
        </w:rPr>
        <w:t>indexem</w:t>
      </w:r>
      <w:r w:rsidR="005B7849" w:rsidRPr="00BC3B0C">
        <w:rPr>
          <w:rFonts w:ascii="Arial" w:hAnsi="Arial" w:cs="Arial"/>
          <w:sz w:val="20"/>
          <w:szCs w:val="20"/>
        </w:rPr>
        <w:t>.</w:t>
      </w:r>
    </w:p>
    <w:p w14:paraId="13E757C3" w14:textId="5FFC7435" w:rsidR="001E43FF" w:rsidRPr="00BC3B0C" w:rsidRDefault="00A9564D" w:rsidP="0033650E">
      <w:pPr>
        <w:spacing w:after="120"/>
        <w:ind w:left="397" w:hanging="397"/>
        <w:jc w:val="both"/>
        <w:rPr>
          <w:rFonts w:ascii="Arial" w:hAnsi="Arial" w:cs="Arial"/>
          <w:sz w:val="20"/>
          <w:szCs w:val="20"/>
        </w:rPr>
      </w:pPr>
      <w:r>
        <w:rPr>
          <w:rFonts w:ascii="Arial" w:hAnsi="Arial" w:cs="Arial"/>
          <w:sz w:val="20"/>
          <w:szCs w:val="20"/>
        </w:rPr>
        <w:t>10</w:t>
      </w:r>
      <w:r w:rsidR="005B7849" w:rsidRPr="00BC3B0C">
        <w:rPr>
          <w:rFonts w:ascii="Arial" w:hAnsi="Arial" w:cs="Arial"/>
          <w:sz w:val="20"/>
          <w:szCs w:val="20"/>
        </w:rPr>
        <w:t>.</w:t>
      </w:r>
      <w:r w:rsidR="005B7849" w:rsidRPr="00BC3B0C">
        <w:rPr>
          <w:rFonts w:ascii="Arial" w:hAnsi="Arial" w:cs="Arial"/>
          <w:sz w:val="20"/>
          <w:szCs w:val="20"/>
        </w:rPr>
        <w:tab/>
      </w:r>
      <w:r w:rsidR="001E43FF" w:rsidRPr="00BC3B0C">
        <w:rPr>
          <w:rFonts w:ascii="Arial" w:hAnsi="Arial" w:cs="Arial"/>
          <w:sz w:val="20"/>
          <w:szCs w:val="20"/>
        </w:rPr>
        <w:t xml:space="preserve">Dopravce tímto bere na vědomí, že cena za </w:t>
      </w:r>
      <w:r w:rsidR="00A71BFF" w:rsidRPr="00BC3B0C">
        <w:rPr>
          <w:rFonts w:ascii="Arial" w:hAnsi="Arial" w:cs="Arial"/>
          <w:sz w:val="20"/>
          <w:szCs w:val="20"/>
        </w:rPr>
        <w:t xml:space="preserve">trakční </w:t>
      </w:r>
      <w:r w:rsidR="00EF33F5">
        <w:rPr>
          <w:rFonts w:ascii="Arial" w:hAnsi="Arial" w:cs="Arial"/>
          <w:sz w:val="20"/>
          <w:szCs w:val="20"/>
        </w:rPr>
        <w:t>elektrickou energii</w:t>
      </w:r>
      <w:r w:rsidR="001E43FF" w:rsidRPr="00BC3B0C">
        <w:rPr>
          <w:rFonts w:ascii="Arial" w:hAnsi="Arial" w:cs="Arial"/>
          <w:sz w:val="20"/>
          <w:szCs w:val="20"/>
        </w:rPr>
        <w:t xml:space="preserve"> bude </w:t>
      </w:r>
      <w:r w:rsidR="005B7849" w:rsidRPr="00BC3B0C">
        <w:rPr>
          <w:rFonts w:ascii="Arial" w:hAnsi="Arial" w:cs="Arial"/>
          <w:sz w:val="20"/>
          <w:szCs w:val="20"/>
        </w:rPr>
        <w:t>na každý rok účinnosti této smlouv</w:t>
      </w:r>
      <w:r w:rsidR="00BF6DB1">
        <w:rPr>
          <w:rFonts w:ascii="Arial" w:hAnsi="Arial" w:cs="Arial"/>
          <w:sz w:val="20"/>
          <w:szCs w:val="20"/>
        </w:rPr>
        <w:t>y</w:t>
      </w:r>
      <w:r w:rsidR="005B7849" w:rsidRPr="00BC3B0C">
        <w:rPr>
          <w:rFonts w:ascii="Arial" w:hAnsi="Arial" w:cs="Arial"/>
          <w:sz w:val="20"/>
          <w:szCs w:val="20"/>
        </w:rPr>
        <w:t xml:space="preserve"> o </w:t>
      </w:r>
      <w:r w:rsidR="001B3E7F">
        <w:rPr>
          <w:rFonts w:ascii="Arial" w:hAnsi="Arial" w:cs="Arial"/>
          <w:sz w:val="20"/>
          <w:szCs w:val="20"/>
        </w:rPr>
        <w:t>dodávkách</w:t>
      </w:r>
      <w:r w:rsidR="001B3E7F" w:rsidRPr="00BC3B0C">
        <w:rPr>
          <w:rFonts w:ascii="Arial" w:hAnsi="Arial" w:cs="Arial"/>
          <w:sz w:val="20"/>
          <w:szCs w:val="20"/>
        </w:rPr>
        <w:t xml:space="preserve"> </w:t>
      </w:r>
      <w:r w:rsidR="00DE4F07" w:rsidRPr="00BC3B0C">
        <w:rPr>
          <w:rFonts w:ascii="Arial" w:hAnsi="Arial" w:cs="Arial"/>
          <w:sz w:val="20"/>
          <w:szCs w:val="20"/>
        </w:rPr>
        <w:t>následující po</w:t>
      </w:r>
      <w:r w:rsidR="0014179B" w:rsidRPr="00BC3B0C">
        <w:rPr>
          <w:rFonts w:ascii="Arial" w:hAnsi="Arial" w:cs="Arial"/>
          <w:sz w:val="20"/>
          <w:szCs w:val="20"/>
        </w:rPr>
        <w:t xml:space="preserve"> roce </w:t>
      </w:r>
      <w:r w:rsidR="00C038BE">
        <w:rPr>
          <w:rFonts w:ascii="Arial" w:hAnsi="Arial" w:cs="Arial"/>
          <w:sz w:val="20"/>
          <w:szCs w:val="20"/>
        </w:rPr>
        <w:t>[</w:t>
      </w:r>
      <w:r w:rsidR="00C038BE" w:rsidRPr="00C038BE">
        <w:rPr>
          <w:rFonts w:ascii="Arial" w:hAnsi="Arial" w:cs="Arial"/>
          <w:sz w:val="20"/>
          <w:szCs w:val="20"/>
          <w:highlight w:val="yellow"/>
        </w:rPr>
        <w:t>bude doplněn rok účinnost</w:t>
      </w:r>
      <w:r w:rsidR="00C038BE">
        <w:rPr>
          <w:rFonts w:ascii="Arial" w:hAnsi="Arial" w:cs="Arial"/>
          <w:sz w:val="20"/>
          <w:szCs w:val="20"/>
          <w:highlight w:val="yellow"/>
        </w:rPr>
        <w:t>i</w:t>
      </w:r>
      <w:r w:rsidR="00C038BE" w:rsidRPr="00C038BE">
        <w:rPr>
          <w:rFonts w:ascii="Arial" w:hAnsi="Arial" w:cs="Arial"/>
          <w:sz w:val="20"/>
          <w:szCs w:val="20"/>
          <w:highlight w:val="yellow"/>
        </w:rPr>
        <w:t xml:space="preserve"> této smlouvy o dodávkách</w:t>
      </w:r>
      <w:r w:rsidR="00C038BE">
        <w:rPr>
          <w:rFonts w:ascii="Arial" w:hAnsi="Arial" w:cs="Arial"/>
          <w:sz w:val="20"/>
          <w:szCs w:val="20"/>
        </w:rPr>
        <w:t>]</w:t>
      </w:r>
      <w:r w:rsidR="003857D8">
        <w:rPr>
          <w:rFonts w:ascii="Arial" w:hAnsi="Arial" w:cs="Arial"/>
          <w:sz w:val="20"/>
          <w:szCs w:val="20"/>
        </w:rPr>
        <w:t xml:space="preserve"> </w:t>
      </w:r>
      <w:r w:rsidR="001E43FF" w:rsidRPr="00BC3B0C">
        <w:rPr>
          <w:rFonts w:ascii="Arial" w:hAnsi="Arial" w:cs="Arial"/>
          <w:sz w:val="20"/>
          <w:szCs w:val="20"/>
        </w:rPr>
        <w:t xml:space="preserve">známa až po ukončení </w:t>
      </w:r>
      <w:r w:rsidR="00A71BFF" w:rsidRPr="00BC3B0C">
        <w:rPr>
          <w:rFonts w:ascii="Arial" w:hAnsi="Arial" w:cs="Arial"/>
          <w:sz w:val="20"/>
          <w:szCs w:val="20"/>
        </w:rPr>
        <w:t xml:space="preserve">příslušných </w:t>
      </w:r>
      <w:r w:rsidR="001E43FF" w:rsidRPr="00BC3B0C">
        <w:rPr>
          <w:rFonts w:ascii="Arial" w:hAnsi="Arial" w:cs="Arial"/>
          <w:sz w:val="20"/>
          <w:szCs w:val="20"/>
        </w:rPr>
        <w:t>nákupních kroků na komoditní burze</w:t>
      </w:r>
      <w:r w:rsidR="005B5D8B">
        <w:rPr>
          <w:rFonts w:ascii="Arial" w:hAnsi="Arial" w:cs="Arial"/>
          <w:sz w:val="20"/>
          <w:szCs w:val="20"/>
        </w:rPr>
        <w:t xml:space="preserve">, kterou pro rok </w:t>
      </w:r>
      <w:r w:rsidR="00C038BE">
        <w:rPr>
          <w:rFonts w:ascii="Arial" w:hAnsi="Arial" w:cs="Arial"/>
          <w:sz w:val="20"/>
          <w:szCs w:val="20"/>
        </w:rPr>
        <w:t>[</w:t>
      </w:r>
      <w:r w:rsidR="00C038BE" w:rsidRPr="00C038BE">
        <w:rPr>
          <w:rFonts w:ascii="Arial" w:hAnsi="Arial" w:cs="Arial"/>
          <w:sz w:val="20"/>
          <w:szCs w:val="20"/>
          <w:highlight w:val="yellow"/>
        </w:rPr>
        <w:t>bude doplněn rok účinnost</w:t>
      </w:r>
      <w:r w:rsidR="00C038BE">
        <w:rPr>
          <w:rFonts w:ascii="Arial" w:hAnsi="Arial" w:cs="Arial"/>
          <w:sz w:val="20"/>
          <w:szCs w:val="20"/>
          <w:highlight w:val="yellow"/>
        </w:rPr>
        <w:t>i</w:t>
      </w:r>
      <w:r w:rsidR="00C038BE" w:rsidRPr="00C038BE">
        <w:rPr>
          <w:rFonts w:ascii="Arial" w:hAnsi="Arial" w:cs="Arial"/>
          <w:sz w:val="20"/>
          <w:szCs w:val="20"/>
          <w:highlight w:val="yellow"/>
        </w:rPr>
        <w:t xml:space="preserve"> této smlouvy o dodávkách</w:t>
      </w:r>
      <w:r w:rsidR="00C038BE">
        <w:rPr>
          <w:rFonts w:ascii="Arial" w:hAnsi="Arial" w:cs="Arial"/>
          <w:sz w:val="20"/>
          <w:szCs w:val="20"/>
        </w:rPr>
        <w:t>]</w:t>
      </w:r>
      <w:r w:rsidR="00975F45">
        <w:rPr>
          <w:rFonts w:ascii="Arial" w:hAnsi="Arial" w:cs="Arial"/>
          <w:sz w:val="20"/>
          <w:szCs w:val="20"/>
        </w:rPr>
        <w:t xml:space="preserve"> </w:t>
      </w:r>
      <w:r w:rsidR="005B5D8B">
        <w:rPr>
          <w:rFonts w:ascii="Arial" w:hAnsi="Arial" w:cs="Arial"/>
          <w:sz w:val="20"/>
          <w:szCs w:val="20"/>
        </w:rPr>
        <w:t>byla</w:t>
      </w:r>
      <w:r w:rsidR="00975F45">
        <w:rPr>
          <w:rFonts w:ascii="Arial" w:hAnsi="Arial" w:cs="Arial"/>
          <w:sz w:val="20"/>
          <w:szCs w:val="20"/>
        </w:rPr>
        <w:t xml:space="preserve"> </w:t>
      </w:r>
      <w:r w:rsidR="00C038BE">
        <w:rPr>
          <w:rFonts w:ascii="Arial" w:hAnsi="Arial" w:cs="Arial"/>
          <w:sz w:val="20"/>
          <w:szCs w:val="20"/>
        </w:rPr>
        <w:t>[</w:t>
      </w:r>
      <w:r w:rsidR="00C038BE" w:rsidRPr="00C038BE">
        <w:rPr>
          <w:rFonts w:ascii="Arial" w:hAnsi="Arial" w:cs="Arial"/>
          <w:sz w:val="20"/>
          <w:szCs w:val="20"/>
          <w:highlight w:val="yellow"/>
        </w:rPr>
        <w:t>bude doplněno</w:t>
      </w:r>
      <w:r w:rsidR="00C038BE">
        <w:rPr>
          <w:rFonts w:ascii="Arial" w:hAnsi="Arial" w:cs="Arial"/>
          <w:sz w:val="20"/>
          <w:szCs w:val="20"/>
        </w:rPr>
        <w:t>]</w:t>
      </w:r>
      <w:r w:rsidR="001E43FF" w:rsidRPr="00BC3B0C">
        <w:rPr>
          <w:rFonts w:ascii="Arial" w:hAnsi="Arial" w:cs="Arial"/>
          <w:sz w:val="20"/>
          <w:szCs w:val="20"/>
        </w:rPr>
        <w:t>.</w:t>
      </w:r>
    </w:p>
    <w:p w14:paraId="445ADBC1" w14:textId="730311A2" w:rsidR="00931C5A" w:rsidRPr="00BC3B0C" w:rsidRDefault="00D33C2F" w:rsidP="00931C5A">
      <w:pPr>
        <w:spacing w:after="120"/>
        <w:ind w:left="397" w:hanging="397"/>
        <w:jc w:val="both"/>
        <w:rPr>
          <w:rFonts w:ascii="Arial" w:hAnsi="Arial" w:cs="Arial"/>
          <w:sz w:val="20"/>
          <w:szCs w:val="20"/>
        </w:rPr>
      </w:pPr>
      <w:r>
        <w:rPr>
          <w:rFonts w:ascii="Arial" w:hAnsi="Arial" w:cs="Arial"/>
          <w:sz w:val="20"/>
          <w:szCs w:val="20"/>
        </w:rPr>
        <w:t>1</w:t>
      </w:r>
      <w:r w:rsidR="00A9564D">
        <w:rPr>
          <w:rFonts w:ascii="Arial" w:hAnsi="Arial" w:cs="Arial"/>
          <w:sz w:val="20"/>
          <w:szCs w:val="20"/>
        </w:rPr>
        <w:t>1</w:t>
      </w:r>
      <w:r w:rsidR="001D493B" w:rsidRPr="00BC3B0C">
        <w:rPr>
          <w:rFonts w:ascii="Arial" w:hAnsi="Arial" w:cs="Arial"/>
          <w:sz w:val="20"/>
          <w:szCs w:val="20"/>
        </w:rPr>
        <w:t>.</w:t>
      </w:r>
      <w:r w:rsidR="001D493B" w:rsidRPr="00BC3B0C">
        <w:rPr>
          <w:rFonts w:ascii="Arial" w:hAnsi="Arial" w:cs="Arial"/>
          <w:sz w:val="20"/>
          <w:szCs w:val="20"/>
        </w:rPr>
        <w:tab/>
      </w:r>
      <w:r w:rsidR="00931C5A">
        <w:rPr>
          <w:rFonts w:ascii="Arial" w:hAnsi="Arial" w:cs="Arial"/>
          <w:sz w:val="20"/>
          <w:szCs w:val="20"/>
        </w:rPr>
        <w:t>P</w:t>
      </w:r>
      <w:r w:rsidR="0059555F" w:rsidRPr="00BC3B0C">
        <w:rPr>
          <w:rFonts w:ascii="Arial" w:hAnsi="Arial" w:cs="Arial"/>
          <w:sz w:val="20"/>
          <w:szCs w:val="20"/>
        </w:rPr>
        <w:t xml:space="preserve">rovozovatel oznámí </w:t>
      </w:r>
      <w:r w:rsidR="00931C5A">
        <w:rPr>
          <w:rFonts w:ascii="Arial" w:hAnsi="Arial" w:cs="Arial"/>
          <w:sz w:val="20"/>
          <w:szCs w:val="20"/>
        </w:rPr>
        <w:t xml:space="preserve">dopravci </w:t>
      </w:r>
      <w:r w:rsidR="0059555F" w:rsidRPr="00BC3B0C">
        <w:rPr>
          <w:rFonts w:ascii="Arial" w:hAnsi="Arial" w:cs="Arial"/>
          <w:sz w:val="20"/>
          <w:szCs w:val="20"/>
        </w:rPr>
        <w:t>cenu za jedn</w:t>
      </w:r>
      <w:r w:rsidR="0014179B" w:rsidRPr="00BC3B0C">
        <w:rPr>
          <w:rFonts w:ascii="Arial" w:hAnsi="Arial" w:cs="Arial"/>
          <w:sz w:val="20"/>
          <w:szCs w:val="20"/>
        </w:rPr>
        <w:t>u</w:t>
      </w:r>
      <w:r w:rsidR="0059555F" w:rsidRPr="00BC3B0C">
        <w:rPr>
          <w:rFonts w:ascii="Arial" w:hAnsi="Arial" w:cs="Arial"/>
          <w:sz w:val="20"/>
          <w:szCs w:val="20"/>
        </w:rPr>
        <w:t xml:space="preserve"> (1) </w:t>
      </w:r>
      <w:r w:rsidR="0001439C">
        <w:rPr>
          <w:rFonts w:ascii="Arial" w:hAnsi="Arial" w:cs="Arial"/>
          <w:sz w:val="20"/>
          <w:szCs w:val="20"/>
        </w:rPr>
        <w:t>megawatthodinu (</w:t>
      </w:r>
      <w:proofErr w:type="spellStart"/>
      <w:r w:rsidR="0059555F" w:rsidRPr="00BC3B0C">
        <w:rPr>
          <w:rFonts w:ascii="Arial" w:hAnsi="Arial" w:cs="Arial"/>
          <w:sz w:val="20"/>
          <w:szCs w:val="20"/>
        </w:rPr>
        <w:t>MWh</w:t>
      </w:r>
      <w:proofErr w:type="spellEnd"/>
      <w:r w:rsidR="0001439C">
        <w:rPr>
          <w:rFonts w:ascii="Arial" w:hAnsi="Arial" w:cs="Arial"/>
          <w:sz w:val="20"/>
          <w:szCs w:val="20"/>
        </w:rPr>
        <w:t>)</w:t>
      </w:r>
      <w:r w:rsidR="0059555F" w:rsidRPr="00BC3B0C">
        <w:rPr>
          <w:rFonts w:ascii="Arial" w:hAnsi="Arial" w:cs="Arial"/>
          <w:sz w:val="20"/>
          <w:szCs w:val="20"/>
        </w:rPr>
        <w:t xml:space="preserve"> trakční elektrické energie </w:t>
      </w:r>
      <w:r w:rsidR="00931C5A">
        <w:rPr>
          <w:rFonts w:ascii="Arial" w:hAnsi="Arial" w:cs="Arial"/>
          <w:sz w:val="20"/>
          <w:szCs w:val="20"/>
        </w:rPr>
        <w:t>platnou pro</w:t>
      </w:r>
      <w:r w:rsidR="00931C5A" w:rsidRPr="00BC3B0C">
        <w:rPr>
          <w:rFonts w:ascii="Arial" w:hAnsi="Arial" w:cs="Arial"/>
          <w:sz w:val="20"/>
          <w:szCs w:val="20"/>
        </w:rPr>
        <w:t xml:space="preserve"> </w:t>
      </w:r>
      <w:r w:rsidR="001D493B" w:rsidRPr="00BC3B0C">
        <w:rPr>
          <w:rFonts w:ascii="Arial" w:hAnsi="Arial" w:cs="Arial"/>
          <w:sz w:val="20"/>
          <w:szCs w:val="20"/>
        </w:rPr>
        <w:t xml:space="preserve">každý </w:t>
      </w:r>
      <w:r w:rsidR="0059555F" w:rsidRPr="00BC3B0C">
        <w:rPr>
          <w:rFonts w:ascii="Arial" w:hAnsi="Arial" w:cs="Arial"/>
          <w:sz w:val="20"/>
          <w:szCs w:val="20"/>
        </w:rPr>
        <w:t>rok účinnosti této smlouvy o</w:t>
      </w:r>
      <w:r>
        <w:rPr>
          <w:rFonts w:ascii="Arial" w:hAnsi="Arial" w:cs="Arial"/>
          <w:sz w:val="20"/>
          <w:szCs w:val="20"/>
        </w:rPr>
        <w:t xml:space="preserve"> </w:t>
      </w:r>
      <w:r w:rsidR="0059555F" w:rsidRPr="00BC3B0C">
        <w:rPr>
          <w:rFonts w:ascii="Arial" w:hAnsi="Arial" w:cs="Arial"/>
          <w:sz w:val="20"/>
          <w:szCs w:val="20"/>
        </w:rPr>
        <w:t>dodávkách</w:t>
      </w:r>
      <w:r w:rsidR="00931C5A">
        <w:rPr>
          <w:rFonts w:ascii="Arial" w:hAnsi="Arial" w:cs="Arial"/>
          <w:sz w:val="20"/>
          <w:szCs w:val="20"/>
        </w:rPr>
        <w:t xml:space="preserve"> </w:t>
      </w:r>
      <w:r w:rsidR="0059555F" w:rsidRPr="00BC3B0C">
        <w:rPr>
          <w:rFonts w:ascii="Arial" w:hAnsi="Arial" w:cs="Arial"/>
          <w:sz w:val="20"/>
          <w:szCs w:val="20"/>
        </w:rPr>
        <w:t xml:space="preserve">následující po </w:t>
      </w:r>
      <w:r w:rsidR="0014179B" w:rsidRPr="00BC3B0C">
        <w:rPr>
          <w:rFonts w:ascii="Arial" w:hAnsi="Arial" w:cs="Arial"/>
          <w:sz w:val="20"/>
          <w:szCs w:val="20"/>
        </w:rPr>
        <w:t xml:space="preserve">roce </w:t>
      </w:r>
      <w:r w:rsidR="00C038BE">
        <w:rPr>
          <w:rFonts w:ascii="Arial" w:hAnsi="Arial" w:cs="Arial"/>
          <w:sz w:val="20"/>
          <w:szCs w:val="20"/>
        </w:rPr>
        <w:t>[</w:t>
      </w:r>
      <w:r w:rsidR="00C038BE" w:rsidRPr="00C038BE">
        <w:rPr>
          <w:rFonts w:ascii="Arial" w:hAnsi="Arial" w:cs="Arial"/>
          <w:sz w:val="20"/>
          <w:szCs w:val="20"/>
          <w:highlight w:val="yellow"/>
        </w:rPr>
        <w:t>bude doplněn rok účinnost</w:t>
      </w:r>
      <w:r w:rsidR="00C038BE">
        <w:rPr>
          <w:rFonts w:ascii="Arial" w:hAnsi="Arial" w:cs="Arial"/>
          <w:sz w:val="20"/>
          <w:szCs w:val="20"/>
          <w:highlight w:val="yellow"/>
        </w:rPr>
        <w:t>i</w:t>
      </w:r>
      <w:r w:rsidR="00C038BE" w:rsidRPr="00C038BE">
        <w:rPr>
          <w:rFonts w:ascii="Arial" w:hAnsi="Arial" w:cs="Arial"/>
          <w:sz w:val="20"/>
          <w:szCs w:val="20"/>
          <w:highlight w:val="yellow"/>
        </w:rPr>
        <w:t xml:space="preserve"> této smlouvy o dodávkách</w:t>
      </w:r>
      <w:r w:rsidR="00C038BE">
        <w:rPr>
          <w:rFonts w:ascii="Arial" w:hAnsi="Arial" w:cs="Arial"/>
          <w:sz w:val="20"/>
          <w:szCs w:val="20"/>
        </w:rPr>
        <w:t>]</w:t>
      </w:r>
      <w:r>
        <w:rPr>
          <w:rFonts w:ascii="Arial" w:hAnsi="Arial" w:cs="Arial"/>
          <w:sz w:val="20"/>
          <w:szCs w:val="20"/>
        </w:rPr>
        <w:t xml:space="preserve"> </w:t>
      </w:r>
      <w:r w:rsidR="0059555F" w:rsidRPr="00BC3B0C">
        <w:rPr>
          <w:rFonts w:ascii="Arial" w:hAnsi="Arial" w:cs="Arial"/>
          <w:sz w:val="20"/>
          <w:szCs w:val="20"/>
        </w:rPr>
        <w:t xml:space="preserve">nejpozději do </w:t>
      </w:r>
      <w:r w:rsidR="001D493B" w:rsidRPr="00B778A3">
        <w:rPr>
          <w:rFonts w:ascii="Arial" w:hAnsi="Arial" w:cs="Arial"/>
          <w:sz w:val="20"/>
          <w:szCs w:val="20"/>
        </w:rPr>
        <w:t>16</w:t>
      </w:r>
      <w:r w:rsidR="00931C5A" w:rsidRPr="00B778A3">
        <w:rPr>
          <w:rFonts w:ascii="Arial" w:hAnsi="Arial" w:cs="Arial"/>
          <w:sz w:val="20"/>
          <w:szCs w:val="20"/>
        </w:rPr>
        <w:t>. </w:t>
      </w:r>
      <w:r w:rsidR="001D493B" w:rsidRPr="00B778A3">
        <w:rPr>
          <w:rFonts w:ascii="Arial" w:hAnsi="Arial" w:cs="Arial"/>
          <w:sz w:val="20"/>
          <w:szCs w:val="20"/>
        </w:rPr>
        <w:t>12.</w:t>
      </w:r>
      <w:r w:rsidR="0059555F" w:rsidRPr="00BC3B0C">
        <w:rPr>
          <w:rFonts w:ascii="Arial" w:hAnsi="Arial" w:cs="Arial"/>
          <w:sz w:val="20"/>
          <w:szCs w:val="20"/>
        </w:rPr>
        <w:t xml:space="preserve"> roku</w:t>
      </w:r>
      <w:r w:rsidR="00DA0B7B">
        <w:rPr>
          <w:rFonts w:ascii="Arial" w:hAnsi="Arial" w:cs="Arial"/>
          <w:sz w:val="20"/>
          <w:szCs w:val="20"/>
        </w:rPr>
        <w:t>, který předchází roku, pro který je tato cena dopravci oznamována</w:t>
      </w:r>
      <w:r w:rsidR="0059555F" w:rsidRPr="00BC3B0C">
        <w:rPr>
          <w:rFonts w:ascii="Arial" w:hAnsi="Arial" w:cs="Arial"/>
          <w:sz w:val="20"/>
          <w:szCs w:val="20"/>
        </w:rPr>
        <w:t>.</w:t>
      </w:r>
      <w:r w:rsidR="00A44999" w:rsidRPr="00BC3B0C">
        <w:rPr>
          <w:rFonts w:ascii="Arial" w:hAnsi="Arial" w:cs="Arial"/>
          <w:sz w:val="20"/>
          <w:szCs w:val="20"/>
        </w:rPr>
        <w:t xml:space="preserve"> </w:t>
      </w:r>
      <w:r w:rsidR="00931C5A" w:rsidRPr="00BC3B0C">
        <w:rPr>
          <w:rFonts w:ascii="Arial" w:hAnsi="Arial" w:cs="Arial"/>
          <w:sz w:val="20"/>
          <w:szCs w:val="20"/>
        </w:rPr>
        <w:t xml:space="preserve">Smluvní strany se dohodly, že oznámení provozovatele podle předchozí věty </w:t>
      </w:r>
      <w:r w:rsidR="00B77C36">
        <w:rPr>
          <w:rFonts w:ascii="Arial" w:hAnsi="Arial" w:cs="Arial"/>
          <w:sz w:val="20"/>
          <w:szCs w:val="20"/>
        </w:rPr>
        <w:t xml:space="preserve">nepovažují </w:t>
      </w:r>
      <w:r w:rsidR="00931C5A" w:rsidRPr="00BC3B0C">
        <w:rPr>
          <w:rFonts w:ascii="Arial" w:hAnsi="Arial" w:cs="Arial"/>
          <w:sz w:val="20"/>
          <w:szCs w:val="20"/>
        </w:rPr>
        <w:t>za změnu této smlouvy o dodávkách vyžadující uzavření písemné dohody o její změně.</w:t>
      </w:r>
    </w:p>
    <w:p w14:paraId="7B0500AC" w14:textId="57C861C5" w:rsidR="00931C5A" w:rsidRDefault="00200EF0" w:rsidP="00C27B7C">
      <w:pPr>
        <w:spacing w:after="120"/>
        <w:ind w:left="397" w:hanging="397"/>
        <w:jc w:val="both"/>
        <w:rPr>
          <w:rFonts w:ascii="Arial" w:hAnsi="Arial" w:cs="Arial"/>
          <w:sz w:val="20"/>
          <w:szCs w:val="20"/>
        </w:rPr>
      </w:pPr>
      <w:r>
        <w:rPr>
          <w:rFonts w:ascii="Arial" w:hAnsi="Arial" w:cs="Arial"/>
          <w:sz w:val="20"/>
          <w:szCs w:val="20"/>
        </w:rPr>
        <w:t>1</w:t>
      </w:r>
      <w:r w:rsidR="00A9564D">
        <w:rPr>
          <w:rFonts w:ascii="Arial" w:hAnsi="Arial" w:cs="Arial"/>
          <w:sz w:val="20"/>
          <w:szCs w:val="20"/>
        </w:rPr>
        <w:t>2</w:t>
      </w:r>
      <w:r w:rsidR="00931C5A">
        <w:rPr>
          <w:rFonts w:ascii="Arial" w:hAnsi="Arial" w:cs="Arial"/>
          <w:sz w:val="20"/>
          <w:szCs w:val="20"/>
        </w:rPr>
        <w:t>.</w:t>
      </w:r>
      <w:r w:rsidR="00931C5A">
        <w:rPr>
          <w:rFonts w:ascii="Arial" w:hAnsi="Arial" w:cs="Arial"/>
          <w:sz w:val="20"/>
          <w:szCs w:val="20"/>
        </w:rPr>
        <w:tab/>
      </w:r>
      <w:r w:rsidR="00931C5A" w:rsidRPr="00BC3B0C">
        <w:rPr>
          <w:rFonts w:ascii="Arial" w:hAnsi="Arial" w:cs="Arial"/>
          <w:sz w:val="20"/>
          <w:szCs w:val="20"/>
        </w:rPr>
        <w:t xml:space="preserve">Dopravce </w:t>
      </w:r>
      <w:r w:rsidR="00931C5A">
        <w:rPr>
          <w:rFonts w:ascii="Arial" w:hAnsi="Arial" w:cs="Arial"/>
          <w:sz w:val="20"/>
          <w:szCs w:val="20"/>
        </w:rPr>
        <w:t xml:space="preserve">se </w:t>
      </w:r>
      <w:r w:rsidR="00931C5A" w:rsidRPr="00BC3B0C">
        <w:rPr>
          <w:rFonts w:ascii="Arial" w:hAnsi="Arial" w:cs="Arial"/>
          <w:sz w:val="20"/>
          <w:szCs w:val="20"/>
        </w:rPr>
        <w:t xml:space="preserve">podpisem této smlouvy o dodávkách </w:t>
      </w:r>
      <w:r w:rsidR="00931C5A">
        <w:rPr>
          <w:rFonts w:ascii="Arial" w:hAnsi="Arial" w:cs="Arial"/>
          <w:sz w:val="20"/>
          <w:szCs w:val="20"/>
        </w:rPr>
        <w:t xml:space="preserve">zavazuje hradit provozovateli </w:t>
      </w:r>
      <w:r w:rsidR="000B3105">
        <w:rPr>
          <w:rFonts w:ascii="Arial" w:hAnsi="Arial" w:cs="Arial"/>
          <w:sz w:val="20"/>
          <w:szCs w:val="20"/>
        </w:rPr>
        <w:t>v </w:t>
      </w:r>
      <w:r w:rsidR="00D33C2F">
        <w:rPr>
          <w:rFonts w:ascii="Arial" w:hAnsi="Arial" w:cs="Arial"/>
          <w:sz w:val="20"/>
          <w:szCs w:val="20"/>
        </w:rPr>
        <w:t>každém</w:t>
      </w:r>
      <w:r w:rsidR="000B3105">
        <w:rPr>
          <w:rFonts w:ascii="Arial" w:hAnsi="Arial" w:cs="Arial"/>
          <w:sz w:val="20"/>
          <w:szCs w:val="20"/>
        </w:rPr>
        <w:t xml:space="preserve"> roce účinnosti této smlouvy o dodávkách</w:t>
      </w:r>
      <w:r w:rsidR="00D33C2F">
        <w:rPr>
          <w:rFonts w:ascii="Arial" w:hAnsi="Arial" w:cs="Arial"/>
          <w:sz w:val="20"/>
          <w:szCs w:val="20"/>
        </w:rPr>
        <w:t>, který</w:t>
      </w:r>
      <w:r w:rsidR="000B3105">
        <w:rPr>
          <w:rFonts w:ascii="Arial" w:hAnsi="Arial" w:cs="Arial"/>
          <w:sz w:val="20"/>
          <w:szCs w:val="20"/>
        </w:rPr>
        <w:t xml:space="preserve"> </w:t>
      </w:r>
      <w:r w:rsidR="00D33C2F">
        <w:rPr>
          <w:rFonts w:ascii="Arial" w:hAnsi="Arial" w:cs="Arial"/>
          <w:sz w:val="20"/>
          <w:szCs w:val="20"/>
        </w:rPr>
        <w:t xml:space="preserve">následuje po roce </w:t>
      </w:r>
      <w:r w:rsidR="004C25AD">
        <w:rPr>
          <w:rFonts w:ascii="Arial" w:hAnsi="Arial" w:cs="Arial"/>
          <w:sz w:val="20"/>
          <w:szCs w:val="20"/>
        </w:rPr>
        <w:t>[</w:t>
      </w:r>
      <w:r w:rsidR="004C25AD" w:rsidRPr="00C038BE">
        <w:rPr>
          <w:rFonts w:ascii="Arial" w:hAnsi="Arial" w:cs="Arial"/>
          <w:sz w:val="20"/>
          <w:szCs w:val="20"/>
          <w:highlight w:val="yellow"/>
        </w:rPr>
        <w:t>bude doplněn rok účinnost</w:t>
      </w:r>
      <w:r w:rsidR="004C25AD">
        <w:rPr>
          <w:rFonts w:ascii="Arial" w:hAnsi="Arial" w:cs="Arial"/>
          <w:sz w:val="20"/>
          <w:szCs w:val="20"/>
          <w:highlight w:val="yellow"/>
        </w:rPr>
        <w:t>i</w:t>
      </w:r>
      <w:r w:rsidR="004C25AD" w:rsidRPr="00C038BE">
        <w:rPr>
          <w:rFonts w:ascii="Arial" w:hAnsi="Arial" w:cs="Arial"/>
          <w:sz w:val="20"/>
          <w:szCs w:val="20"/>
          <w:highlight w:val="yellow"/>
        </w:rPr>
        <w:t xml:space="preserve"> této smlouvy o</w:t>
      </w:r>
      <w:r w:rsidR="004C25AD">
        <w:rPr>
          <w:rFonts w:ascii="Arial" w:hAnsi="Arial" w:cs="Arial"/>
          <w:sz w:val="20"/>
          <w:szCs w:val="20"/>
          <w:highlight w:val="yellow"/>
        </w:rPr>
        <w:t> </w:t>
      </w:r>
      <w:r w:rsidR="004C25AD" w:rsidRPr="00C038BE">
        <w:rPr>
          <w:rFonts w:ascii="Arial" w:hAnsi="Arial" w:cs="Arial"/>
          <w:sz w:val="20"/>
          <w:szCs w:val="20"/>
          <w:highlight w:val="yellow"/>
        </w:rPr>
        <w:t>dodávkách</w:t>
      </w:r>
      <w:r w:rsidR="004C25AD">
        <w:rPr>
          <w:rFonts w:ascii="Arial" w:hAnsi="Arial" w:cs="Arial"/>
          <w:sz w:val="20"/>
          <w:szCs w:val="20"/>
        </w:rPr>
        <w:t>]</w:t>
      </w:r>
      <w:r w:rsidR="00D33C2F">
        <w:rPr>
          <w:rFonts w:ascii="Arial" w:hAnsi="Arial" w:cs="Arial"/>
          <w:sz w:val="20"/>
          <w:szCs w:val="20"/>
        </w:rPr>
        <w:t>,</w:t>
      </w:r>
      <w:r w:rsidR="000B3105">
        <w:rPr>
          <w:rFonts w:ascii="Arial" w:hAnsi="Arial" w:cs="Arial"/>
          <w:sz w:val="20"/>
          <w:szCs w:val="20"/>
        </w:rPr>
        <w:t xml:space="preserve"> </w:t>
      </w:r>
      <w:r w:rsidR="00931C5A">
        <w:rPr>
          <w:rFonts w:ascii="Arial" w:hAnsi="Arial" w:cs="Arial"/>
          <w:sz w:val="20"/>
          <w:szCs w:val="20"/>
        </w:rPr>
        <w:t xml:space="preserve">cenu za komoditu vypočítanou </w:t>
      </w:r>
      <w:r w:rsidR="00931C5A" w:rsidRPr="00BC3B0C">
        <w:rPr>
          <w:rFonts w:ascii="Arial" w:hAnsi="Arial" w:cs="Arial"/>
          <w:sz w:val="20"/>
          <w:szCs w:val="20"/>
        </w:rPr>
        <w:t xml:space="preserve">součinem ceny za jednu (1) </w:t>
      </w:r>
      <w:r w:rsidR="00931C5A">
        <w:rPr>
          <w:rFonts w:ascii="Arial" w:hAnsi="Arial" w:cs="Arial"/>
          <w:sz w:val="20"/>
          <w:szCs w:val="20"/>
        </w:rPr>
        <w:t>megawatthodinu (</w:t>
      </w:r>
      <w:proofErr w:type="spellStart"/>
      <w:r w:rsidR="00931C5A" w:rsidRPr="00BC3B0C">
        <w:rPr>
          <w:rFonts w:ascii="Arial" w:hAnsi="Arial" w:cs="Arial"/>
          <w:sz w:val="20"/>
          <w:szCs w:val="20"/>
        </w:rPr>
        <w:t>MWh</w:t>
      </w:r>
      <w:proofErr w:type="spellEnd"/>
      <w:r w:rsidR="00931C5A">
        <w:rPr>
          <w:rFonts w:ascii="Arial" w:hAnsi="Arial" w:cs="Arial"/>
          <w:sz w:val="20"/>
          <w:szCs w:val="20"/>
        </w:rPr>
        <w:t>)</w:t>
      </w:r>
      <w:r w:rsidR="00931C5A" w:rsidRPr="00BC3B0C">
        <w:rPr>
          <w:rFonts w:ascii="Arial" w:hAnsi="Arial" w:cs="Arial"/>
          <w:sz w:val="20"/>
          <w:szCs w:val="20"/>
        </w:rPr>
        <w:t xml:space="preserve"> trakční elektrické energie </w:t>
      </w:r>
      <w:r w:rsidR="00931C5A">
        <w:rPr>
          <w:rFonts w:ascii="Arial" w:hAnsi="Arial" w:cs="Arial"/>
          <w:sz w:val="20"/>
          <w:szCs w:val="20"/>
        </w:rPr>
        <w:t xml:space="preserve">oznámenou provozovatelem dle předchozího bodu </w:t>
      </w:r>
      <w:r w:rsidR="00D33C2F">
        <w:rPr>
          <w:rFonts w:ascii="Arial" w:hAnsi="Arial" w:cs="Arial"/>
          <w:sz w:val="20"/>
          <w:szCs w:val="20"/>
        </w:rPr>
        <w:t xml:space="preserve">dopravci </w:t>
      </w:r>
      <w:r w:rsidR="00931C5A" w:rsidRPr="00BC3B0C">
        <w:rPr>
          <w:rFonts w:ascii="Arial" w:hAnsi="Arial" w:cs="Arial"/>
          <w:sz w:val="20"/>
          <w:szCs w:val="20"/>
        </w:rPr>
        <w:t>a spotřeb</w:t>
      </w:r>
      <w:r w:rsidR="00931C5A">
        <w:rPr>
          <w:rFonts w:ascii="Arial" w:hAnsi="Arial" w:cs="Arial"/>
          <w:sz w:val="20"/>
          <w:szCs w:val="20"/>
        </w:rPr>
        <w:t>y</w:t>
      </w:r>
      <w:r w:rsidR="00931C5A" w:rsidRPr="00BC3B0C">
        <w:rPr>
          <w:rFonts w:ascii="Arial" w:hAnsi="Arial" w:cs="Arial"/>
          <w:sz w:val="20"/>
          <w:szCs w:val="20"/>
        </w:rPr>
        <w:t xml:space="preserve"> trakční elektrické energie dopravcem </w:t>
      </w:r>
      <w:r w:rsidR="00931C5A">
        <w:rPr>
          <w:rFonts w:ascii="Arial" w:hAnsi="Arial" w:cs="Arial"/>
          <w:sz w:val="20"/>
          <w:szCs w:val="20"/>
        </w:rPr>
        <w:t xml:space="preserve">stanovené za příslušné fakturační období </w:t>
      </w:r>
      <w:r w:rsidR="00931C5A" w:rsidRPr="00BC3B0C">
        <w:rPr>
          <w:rFonts w:ascii="Arial" w:hAnsi="Arial" w:cs="Arial"/>
          <w:sz w:val="20"/>
          <w:szCs w:val="20"/>
        </w:rPr>
        <w:t xml:space="preserve">dle článku 3 </w:t>
      </w:r>
      <w:proofErr w:type="gramStart"/>
      <w:r w:rsidR="00931C5A" w:rsidRPr="00BC3B0C">
        <w:rPr>
          <w:rFonts w:ascii="Arial" w:hAnsi="Arial" w:cs="Arial"/>
          <w:sz w:val="20"/>
          <w:szCs w:val="20"/>
        </w:rPr>
        <w:t>této</w:t>
      </w:r>
      <w:proofErr w:type="gramEnd"/>
      <w:r w:rsidR="00931C5A" w:rsidRPr="00BC3B0C">
        <w:rPr>
          <w:rFonts w:ascii="Arial" w:hAnsi="Arial" w:cs="Arial"/>
          <w:sz w:val="20"/>
          <w:szCs w:val="20"/>
        </w:rPr>
        <w:t xml:space="preserve"> smlouvy o dodávkách</w:t>
      </w:r>
      <w:r w:rsidR="00931C5A">
        <w:rPr>
          <w:rFonts w:ascii="Arial" w:hAnsi="Arial" w:cs="Arial"/>
          <w:sz w:val="20"/>
          <w:szCs w:val="20"/>
        </w:rPr>
        <w:t>.</w:t>
      </w:r>
    </w:p>
    <w:p w14:paraId="717048CE" w14:textId="494DEBF9" w:rsidR="00AF4469" w:rsidRDefault="00975F45" w:rsidP="004B3CDA">
      <w:pPr>
        <w:spacing w:after="120"/>
        <w:ind w:left="397" w:hanging="397"/>
        <w:jc w:val="both"/>
        <w:rPr>
          <w:rFonts w:ascii="Arial" w:hAnsi="Arial" w:cs="Arial"/>
          <w:sz w:val="20"/>
          <w:szCs w:val="20"/>
        </w:rPr>
      </w:pPr>
      <w:r w:rsidRPr="003A66F7">
        <w:rPr>
          <w:rFonts w:ascii="Arial" w:hAnsi="Arial" w:cs="Arial"/>
          <w:sz w:val="20"/>
          <w:szCs w:val="20"/>
        </w:rPr>
        <w:t>1</w:t>
      </w:r>
      <w:r w:rsidR="00A9564D" w:rsidRPr="003A66F7">
        <w:rPr>
          <w:rFonts w:ascii="Arial" w:hAnsi="Arial" w:cs="Arial"/>
          <w:sz w:val="20"/>
          <w:szCs w:val="20"/>
        </w:rPr>
        <w:t>3</w:t>
      </w:r>
      <w:r>
        <w:rPr>
          <w:rFonts w:ascii="Arial" w:hAnsi="Arial" w:cs="Arial"/>
          <w:sz w:val="20"/>
          <w:szCs w:val="20"/>
        </w:rPr>
        <w:t>.</w:t>
      </w:r>
      <w:r>
        <w:rPr>
          <w:rFonts w:ascii="Arial" w:hAnsi="Arial" w:cs="Arial"/>
          <w:sz w:val="20"/>
          <w:szCs w:val="20"/>
        </w:rPr>
        <w:tab/>
        <w:t xml:space="preserve">Smluvní strany se dohodly, že nejpozději do </w:t>
      </w:r>
      <w:r w:rsidRPr="00B778A3">
        <w:rPr>
          <w:rFonts w:ascii="Arial" w:hAnsi="Arial" w:cs="Arial"/>
          <w:sz w:val="20"/>
          <w:szCs w:val="20"/>
        </w:rPr>
        <w:t>června každého roku účinnosti této smlouvy o dodávkách</w:t>
      </w:r>
      <w:r>
        <w:rPr>
          <w:rFonts w:ascii="Arial" w:hAnsi="Arial" w:cs="Arial"/>
          <w:sz w:val="20"/>
          <w:szCs w:val="20"/>
        </w:rPr>
        <w:t xml:space="preserve"> uzavřou dodatek k této smlouvě o dodávkách, ve kterém pro následující rok účinnosti této smlouvy o</w:t>
      </w:r>
      <w:r w:rsidR="008D011D">
        <w:rPr>
          <w:rFonts w:ascii="Arial" w:hAnsi="Arial" w:cs="Arial"/>
          <w:sz w:val="20"/>
          <w:szCs w:val="20"/>
        </w:rPr>
        <w:t> </w:t>
      </w:r>
      <w:r>
        <w:rPr>
          <w:rFonts w:ascii="Arial" w:hAnsi="Arial" w:cs="Arial"/>
          <w:sz w:val="20"/>
          <w:szCs w:val="20"/>
        </w:rPr>
        <w:t xml:space="preserve">dodávkách </w:t>
      </w:r>
      <w:r w:rsidR="008D011D">
        <w:rPr>
          <w:rFonts w:ascii="Arial" w:hAnsi="Arial" w:cs="Arial"/>
          <w:sz w:val="20"/>
          <w:szCs w:val="20"/>
        </w:rPr>
        <w:t>sjednají</w:t>
      </w:r>
      <w:r>
        <w:rPr>
          <w:rFonts w:ascii="Arial" w:hAnsi="Arial" w:cs="Arial"/>
          <w:sz w:val="20"/>
          <w:szCs w:val="20"/>
        </w:rPr>
        <w:t xml:space="preserve"> maximální výši ceny </w:t>
      </w:r>
      <w:r w:rsidRPr="00BC3B0C">
        <w:rPr>
          <w:rFonts w:ascii="Arial" w:hAnsi="Arial" w:cs="Arial"/>
          <w:sz w:val="20"/>
          <w:szCs w:val="20"/>
        </w:rPr>
        <w:t xml:space="preserve">za jednu (1) </w:t>
      </w:r>
      <w:r>
        <w:rPr>
          <w:rFonts w:ascii="Arial" w:hAnsi="Arial" w:cs="Arial"/>
          <w:sz w:val="20"/>
          <w:szCs w:val="20"/>
        </w:rPr>
        <w:t>megawatthodinu (</w:t>
      </w:r>
      <w:proofErr w:type="spellStart"/>
      <w:r w:rsidRPr="00BC3B0C">
        <w:rPr>
          <w:rFonts w:ascii="Arial" w:hAnsi="Arial" w:cs="Arial"/>
          <w:sz w:val="20"/>
          <w:szCs w:val="20"/>
        </w:rPr>
        <w:t>MWh</w:t>
      </w:r>
      <w:proofErr w:type="spellEnd"/>
      <w:r>
        <w:rPr>
          <w:rFonts w:ascii="Arial" w:hAnsi="Arial" w:cs="Arial"/>
          <w:sz w:val="20"/>
          <w:szCs w:val="20"/>
        </w:rPr>
        <w:t>)</w:t>
      </w:r>
      <w:r w:rsidRPr="00BC3B0C">
        <w:rPr>
          <w:rFonts w:ascii="Arial" w:hAnsi="Arial" w:cs="Arial"/>
          <w:sz w:val="20"/>
          <w:szCs w:val="20"/>
        </w:rPr>
        <w:t xml:space="preserve"> trakční elektrické energie </w:t>
      </w:r>
      <w:r w:rsidR="008D011D">
        <w:rPr>
          <w:rFonts w:ascii="Arial" w:hAnsi="Arial" w:cs="Arial"/>
          <w:sz w:val="20"/>
          <w:szCs w:val="20"/>
        </w:rPr>
        <w:t xml:space="preserve">platnou </w:t>
      </w:r>
      <w:r w:rsidRPr="00BC3B0C">
        <w:rPr>
          <w:rFonts w:ascii="Arial" w:hAnsi="Arial" w:cs="Arial"/>
          <w:sz w:val="20"/>
          <w:szCs w:val="20"/>
        </w:rPr>
        <w:t xml:space="preserve">pro </w:t>
      </w:r>
      <w:r w:rsidR="008D011D">
        <w:rPr>
          <w:rFonts w:ascii="Arial" w:hAnsi="Arial" w:cs="Arial"/>
          <w:sz w:val="20"/>
          <w:szCs w:val="20"/>
        </w:rPr>
        <w:t xml:space="preserve">takový následující </w:t>
      </w:r>
      <w:r w:rsidRPr="00BC3B0C">
        <w:rPr>
          <w:rFonts w:ascii="Arial" w:hAnsi="Arial" w:cs="Arial"/>
          <w:sz w:val="20"/>
          <w:szCs w:val="20"/>
        </w:rPr>
        <w:t>rok</w:t>
      </w:r>
      <w:r w:rsidR="008D011D" w:rsidRPr="008D011D">
        <w:rPr>
          <w:rFonts w:ascii="Arial" w:hAnsi="Arial" w:cs="Arial"/>
          <w:sz w:val="20"/>
          <w:szCs w:val="20"/>
        </w:rPr>
        <w:t xml:space="preserve"> </w:t>
      </w:r>
      <w:r w:rsidR="008D011D">
        <w:rPr>
          <w:rFonts w:ascii="Arial" w:hAnsi="Arial" w:cs="Arial"/>
          <w:sz w:val="20"/>
          <w:szCs w:val="20"/>
        </w:rPr>
        <w:t>účinnosti této smlouvy o dodávkách. Smluvní strany se zavazují spolupracovat a vynaložit nezbytné úsilí, které po nich lze rozumně požadovat, aby uzavřely dodatek ve smyslu dle předchozí věty.</w:t>
      </w:r>
      <w:r w:rsidR="00A9564D" w:rsidRPr="003A66F7">
        <w:rPr>
          <w:rFonts w:ascii="Arial" w:hAnsi="Arial" w:cs="Arial"/>
          <w:sz w:val="20"/>
          <w:szCs w:val="20"/>
        </w:rPr>
        <w:t xml:space="preserve"> </w:t>
      </w:r>
    </w:p>
    <w:p w14:paraId="576E676B" w14:textId="1E312674" w:rsidR="00AF4469" w:rsidRDefault="00482E4C" w:rsidP="003A66F7">
      <w:pPr>
        <w:spacing w:after="120"/>
        <w:ind w:left="397" w:hanging="397"/>
        <w:jc w:val="both"/>
        <w:rPr>
          <w:rFonts w:ascii="Arial" w:hAnsi="Arial" w:cs="Arial"/>
          <w:sz w:val="20"/>
          <w:szCs w:val="20"/>
        </w:rPr>
      </w:pPr>
      <w:r>
        <w:rPr>
          <w:rFonts w:ascii="Arial" w:hAnsi="Arial" w:cs="Arial"/>
          <w:sz w:val="20"/>
          <w:szCs w:val="20"/>
        </w:rPr>
        <w:t>1</w:t>
      </w:r>
      <w:r w:rsidR="00484CCE">
        <w:rPr>
          <w:rFonts w:ascii="Arial" w:hAnsi="Arial" w:cs="Arial"/>
          <w:sz w:val="20"/>
          <w:szCs w:val="20"/>
        </w:rPr>
        <w:t>4</w:t>
      </w:r>
      <w:r>
        <w:rPr>
          <w:rFonts w:ascii="Arial" w:hAnsi="Arial" w:cs="Arial"/>
          <w:sz w:val="20"/>
          <w:szCs w:val="20"/>
        </w:rPr>
        <w:t>.</w:t>
      </w:r>
      <w:r>
        <w:rPr>
          <w:rFonts w:ascii="Arial" w:hAnsi="Arial" w:cs="Arial"/>
          <w:sz w:val="20"/>
          <w:szCs w:val="20"/>
        </w:rPr>
        <w:tab/>
        <w:t xml:space="preserve">S vědomím, že </w:t>
      </w:r>
      <w:r w:rsidR="00D313C7" w:rsidRPr="003A66F7">
        <w:rPr>
          <w:rFonts w:ascii="Arial" w:hAnsi="Arial" w:cs="Arial"/>
          <w:sz w:val="20"/>
          <w:szCs w:val="20"/>
        </w:rPr>
        <w:t>postup</w:t>
      </w:r>
      <w:r w:rsidRPr="003A66F7">
        <w:rPr>
          <w:rFonts w:ascii="Arial" w:hAnsi="Arial" w:cs="Arial"/>
          <w:sz w:val="20"/>
          <w:szCs w:val="20"/>
        </w:rPr>
        <w:t xml:space="preserve"> </w:t>
      </w:r>
      <w:r w:rsidR="00D313C7" w:rsidRPr="003A66F7">
        <w:rPr>
          <w:rFonts w:ascii="Arial" w:hAnsi="Arial" w:cs="Arial"/>
          <w:sz w:val="20"/>
          <w:szCs w:val="20"/>
        </w:rPr>
        <w:t>při zjištění</w:t>
      </w:r>
      <w:r w:rsidRPr="003A66F7">
        <w:rPr>
          <w:rFonts w:ascii="Arial" w:hAnsi="Arial" w:cs="Arial"/>
          <w:sz w:val="20"/>
          <w:szCs w:val="20"/>
        </w:rPr>
        <w:t xml:space="preserve"> ceny za jednu (1) megawatthodinu (</w:t>
      </w:r>
      <w:proofErr w:type="spellStart"/>
      <w:r w:rsidRPr="003A66F7">
        <w:rPr>
          <w:rFonts w:ascii="Arial" w:hAnsi="Arial" w:cs="Arial"/>
          <w:sz w:val="20"/>
          <w:szCs w:val="20"/>
        </w:rPr>
        <w:t>MWh</w:t>
      </w:r>
      <w:proofErr w:type="spellEnd"/>
      <w:r w:rsidRPr="003A66F7">
        <w:rPr>
          <w:rFonts w:ascii="Arial" w:hAnsi="Arial" w:cs="Arial"/>
          <w:sz w:val="20"/>
          <w:szCs w:val="20"/>
        </w:rPr>
        <w:t>) trakční elektrické energie sjednaný v tomto článku</w:t>
      </w:r>
      <w:r w:rsidR="00D313C7" w:rsidRPr="003A66F7">
        <w:rPr>
          <w:rFonts w:ascii="Arial" w:hAnsi="Arial" w:cs="Arial"/>
          <w:sz w:val="20"/>
          <w:szCs w:val="20"/>
        </w:rPr>
        <w:t xml:space="preserve"> </w:t>
      </w:r>
      <w:r w:rsidRPr="003A66F7">
        <w:rPr>
          <w:rFonts w:ascii="Arial" w:hAnsi="Arial" w:cs="Arial"/>
          <w:sz w:val="20"/>
          <w:szCs w:val="20"/>
        </w:rPr>
        <w:t>vzhledem k</w:t>
      </w:r>
      <w:r w:rsidR="00D313C7" w:rsidRPr="003A66F7">
        <w:rPr>
          <w:rFonts w:ascii="Arial" w:hAnsi="Arial" w:cs="Arial"/>
          <w:sz w:val="20"/>
          <w:szCs w:val="20"/>
        </w:rPr>
        <w:t>e své</w:t>
      </w:r>
      <w:r w:rsidRPr="003A66F7">
        <w:rPr>
          <w:rFonts w:ascii="Arial" w:hAnsi="Arial" w:cs="Arial"/>
          <w:sz w:val="20"/>
          <w:szCs w:val="20"/>
        </w:rPr>
        <w:t xml:space="preserve"> transparentnosti vylučuje jakoukoliv libovůli provozovatele při </w:t>
      </w:r>
      <w:r w:rsidR="00D313C7" w:rsidRPr="003A66F7">
        <w:rPr>
          <w:rFonts w:ascii="Arial" w:hAnsi="Arial" w:cs="Arial"/>
          <w:sz w:val="20"/>
          <w:szCs w:val="20"/>
        </w:rPr>
        <w:t xml:space="preserve">následných změnách </w:t>
      </w:r>
      <w:r w:rsidRPr="003A66F7">
        <w:rPr>
          <w:rFonts w:ascii="Arial" w:hAnsi="Arial" w:cs="Arial"/>
          <w:sz w:val="20"/>
          <w:szCs w:val="20"/>
        </w:rPr>
        <w:t xml:space="preserve">této ceny, dohodly se smluvní strany takto – v případě, že </w:t>
      </w:r>
      <w:r w:rsidR="00697833" w:rsidRPr="003A66F7">
        <w:rPr>
          <w:rFonts w:ascii="Arial" w:hAnsi="Arial" w:cs="Arial"/>
          <w:sz w:val="20"/>
          <w:szCs w:val="20"/>
        </w:rPr>
        <w:t xml:space="preserve">nebude uzavřen dodatek dle </w:t>
      </w:r>
      <w:r w:rsidRPr="003A66F7">
        <w:rPr>
          <w:rFonts w:ascii="Arial" w:hAnsi="Arial" w:cs="Arial"/>
          <w:sz w:val="20"/>
          <w:szCs w:val="20"/>
        </w:rPr>
        <w:t xml:space="preserve">předchozího </w:t>
      </w:r>
      <w:r w:rsidR="00697833" w:rsidRPr="003A66F7">
        <w:rPr>
          <w:rFonts w:ascii="Arial" w:hAnsi="Arial" w:cs="Arial"/>
          <w:sz w:val="20"/>
          <w:szCs w:val="20"/>
        </w:rPr>
        <w:t>bodu</w:t>
      </w:r>
      <w:r w:rsidRPr="003A66F7">
        <w:rPr>
          <w:rFonts w:ascii="Arial" w:hAnsi="Arial" w:cs="Arial"/>
          <w:sz w:val="20"/>
          <w:szCs w:val="20"/>
        </w:rPr>
        <w:t>, nebude pro příslušný rok účinnosti této smlouvy o</w:t>
      </w:r>
      <w:r w:rsidR="00D313C7">
        <w:rPr>
          <w:rFonts w:ascii="Arial" w:hAnsi="Arial" w:cs="Arial"/>
          <w:sz w:val="20"/>
          <w:szCs w:val="20"/>
        </w:rPr>
        <w:t> </w:t>
      </w:r>
      <w:r w:rsidRPr="003A66F7">
        <w:rPr>
          <w:rFonts w:ascii="Arial" w:hAnsi="Arial" w:cs="Arial"/>
          <w:sz w:val="20"/>
          <w:szCs w:val="20"/>
        </w:rPr>
        <w:t>dodávkách sjednána</w:t>
      </w:r>
      <w:r w:rsidR="00D313C7">
        <w:rPr>
          <w:rFonts w:ascii="Arial" w:hAnsi="Arial" w:cs="Arial"/>
          <w:sz w:val="20"/>
          <w:szCs w:val="20"/>
        </w:rPr>
        <w:t xml:space="preserve"> smluvními stranami</w:t>
      </w:r>
      <w:r w:rsidRPr="003A66F7">
        <w:rPr>
          <w:rFonts w:ascii="Arial" w:hAnsi="Arial" w:cs="Arial"/>
          <w:sz w:val="20"/>
          <w:szCs w:val="20"/>
        </w:rPr>
        <w:t xml:space="preserve"> maximální výše ceny za jednu (1) megawatthodinu (</w:t>
      </w:r>
      <w:proofErr w:type="spellStart"/>
      <w:r w:rsidRPr="003A66F7">
        <w:rPr>
          <w:rFonts w:ascii="Arial" w:hAnsi="Arial" w:cs="Arial"/>
          <w:sz w:val="20"/>
          <w:szCs w:val="20"/>
        </w:rPr>
        <w:t>MWh</w:t>
      </w:r>
      <w:proofErr w:type="spellEnd"/>
      <w:r w:rsidRPr="003A66F7">
        <w:rPr>
          <w:rFonts w:ascii="Arial" w:hAnsi="Arial" w:cs="Arial"/>
          <w:sz w:val="20"/>
          <w:szCs w:val="20"/>
        </w:rPr>
        <w:t xml:space="preserve">) trakční elektrické energie, a </w:t>
      </w:r>
      <w:r w:rsidR="00D313C7">
        <w:rPr>
          <w:rFonts w:ascii="Arial" w:hAnsi="Arial" w:cs="Arial"/>
          <w:sz w:val="20"/>
          <w:szCs w:val="20"/>
        </w:rPr>
        <w:t xml:space="preserve">proto bude </w:t>
      </w:r>
      <w:r w:rsidRPr="003A66F7">
        <w:rPr>
          <w:rFonts w:ascii="Arial" w:hAnsi="Arial" w:cs="Arial"/>
          <w:sz w:val="20"/>
          <w:szCs w:val="20"/>
        </w:rPr>
        <w:t xml:space="preserve">dopravci cena </w:t>
      </w:r>
      <w:r w:rsidR="00D313C7">
        <w:rPr>
          <w:rFonts w:ascii="Arial" w:hAnsi="Arial" w:cs="Arial"/>
          <w:sz w:val="20"/>
          <w:szCs w:val="20"/>
        </w:rPr>
        <w:t>platná pro</w:t>
      </w:r>
      <w:r w:rsidR="00D313C7" w:rsidRPr="00BC3B0C">
        <w:rPr>
          <w:rFonts w:ascii="Arial" w:hAnsi="Arial" w:cs="Arial"/>
          <w:sz w:val="20"/>
          <w:szCs w:val="20"/>
        </w:rPr>
        <w:t xml:space="preserve"> </w:t>
      </w:r>
      <w:r w:rsidR="00D313C7">
        <w:rPr>
          <w:rFonts w:ascii="Arial" w:hAnsi="Arial" w:cs="Arial"/>
          <w:sz w:val="20"/>
          <w:szCs w:val="20"/>
        </w:rPr>
        <w:t xml:space="preserve">příslušný </w:t>
      </w:r>
      <w:r w:rsidR="00D313C7" w:rsidRPr="00BC3B0C">
        <w:rPr>
          <w:rFonts w:ascii="Arial" w:hAnsi="Arial" w:cs="Arial"/>
          <w:sz w:val="20"/>
          <w:szCs w:val="20"/>
        </w:rPr>
        <w:t>rok účinnosti této smlouvy o</w:t>
      </w:r>
      <w:r w:rsidR="00D313C7">
        <w:rPr>
          <w:rFonts w:ascii="Arial" w:hAnsi="Arial" w:cs="Arial"/>
          <w:sz w:val="20"/>
          <w:szCs w:val="20"/>
        </w:rPr>
        <w:t xml:space="preserve"> </w:t>
      </w:r>
      <w:r w:rsidR="00D313C7" w:rsidRPr="00BC3B0C">
        <w:rPr>
          <w:rFonts w:ascii="Arial" w:hAnsi="Arial" w:cs="Arial"/>
          <w:sz w:val="20"/>
          <w:szCs w:val="20"/>
        </w:rPr>
        <w:t>dodávkách</w:t>
      </w:r>
      <w:r w:rsidR="00D313C7">
        <w:rPr>
          <w:rFonts w:ascii="Arial" w:hAnsi="Arial" w:cs="Arial"/>
          <w:sz w:val="20"/>
          <w:szCs w:val="20"/>
        </w:rPr>
        <w:t xml:space="preserve"> </w:t>
      </w:r>
      <w:r w:rsidRPr="003A66F7">
        <w:rPr>
          <w:rFonts w:ascii="Arial" w:hAnsi="Arial" w:cs="Arial"/>
          <w:sz w:val="20"/>
          <w:szCs w:val="20"/>
        </w:rPr>
        <w:t xml:space="preserve">oznámena </w:t>
      </w:r>
      <w:r w:rsidR="00D313C7">
        <w:rPr>
          <w:rFonts w:ascii="Arial" w:hAnsi="Arial" w:cs="Arial"/>
          <w:sz w:val="20"/>
          <w:szCs w:val="20"/>
        </w:rPr>
        <w:t xml:space="preserve">až </w:t>
      </w:r>
      <w:r w:rsidRPr="003A66F7">
        <w:rPr>
          <w:rFonts w:ascii="Arial" w:hAnsi="Arial" w:cs="Arial"/>
          <w:sz w:val="20"/>
          <w:szCs w:val="20"/>
        </w:rPr>
        <w:t>postu</w:t>
      </w:r>
      <w:r>
        <w:rPr>
          <w:rFonts w:ascii="Arial" w:hAnsi="Arial" w:cs="Arial"/>
          <w:sz w:val="20"/>
          <w:szCs w:val="20"/>
        </w:rPr>
        <w:t xml:space="preserve">pem dle bodu 11 </w:t>
      </w:r>
      <w:r w:rsidR="008419F1">
        <w:rPr>
          <w:rFonts w:ascii="Arial" w:hAnsi="Arial" w:cs="Arial"/>
          <w:sz w:val="20"/>
          <w:szCs w:val="20"/>
        </w:rPr>
        <w:t xml:space="preserve">tohoto článku </w:t>
      </w:r>
      <w:r>
        <w:rPr>
          <w:rFonts w:ascii="Arial" w:hAnsi="Arial" w:cs="Arial"/>
          <w:sz w:val="20"/>
          <w:szCs w:val="20"/>
        </w:rPr>
        <w:t>této smlouvy o dodávkách.</w:t>
      </w:r>
    </w:p>
    <w:p w14:paraId="0864F2A7" w14:textId="77920CA2" w:rsidR="007F53E1" w:rsidRPr="002377E0" w:rsidRDefault="007F53E1" w:rsidP="007F53E1">
      <w:pPr>
        <w:keepNext/>
        <w:spacing w:before="480" w:after="240"/>
        <w:jc w:val="center"/>
        <w:rPr>
          <w:rFonts w:ascii="Arial" w:hAnsi="Arial" w:cs="Arial"/>
          <w:b/>
          <w:sz w:val="20"/>
          <w:szCs w:val="20"/>
        </w:rPr>
      </w:pPr>
      <w:r w:rsidRPr="002377E0">
        <w:rPr>
          <w:rFonts w:ascii="Arial" w:hAnsi="Arial" w:cs="Arial"/>
          <w:b/>
          <w:spacing w:val="60"/>
          <w:sz w:val="20"/>
          <w:szCs w:val="20"/>
        </w:rPr>
        <w:t xml:space="preserve">Článek </w:t>
      </w:r>
      <w:r w:rsidR="00F16426">
        <w:rPr>
          <w:rFonts w:ascii="Arial" w:hAnsi="Arial" w:cs="Arial"/>
          <w:b/>
          <w:spacing w:val="60"/>
          <w:sz w:val="20"/>
          <w:szCs w:val="20"/>
        </w:rPr>
        <w:t>6</w:t>
      </w:r>
      <w:r w:rsidRPr="002377E0">
        <w:rPr>
          <w:rFonts w:ascii="Arial" w:hAnsi="Arial" w:cs="Arial"/>
          <w:b/>
          <w:spacing w:val="60"/>
          <w:sz w:val="20"/>
          <w:szCs w:val="20"/>
        </w:rPr>
        <w:br/>
      </w:r>
      <w:r w:rsidR="00CA006C" w:rsidRPr="002377E0">
        <w:rPr>
          <w:rFonts w:ascii="Arial" w:hAnsi="Arial" w:cs="Arial"/>
          <w:b/>
          <w:sz w:val="20"/>
          <w:szCs w:val="20"/>
        </w:rPr>
        <w:t>C</w:t>
      </w:r>
      <w:r w:rsidRPr="002377E0">
        <w:rPr>
          <w:rFonts w:ascii="Arial" w:hAnsi="Arial" w:cs="Arial"/>
          <w:b/>
          <w:sz w:val="20"/>
          <w:szCs w:val="20"/>
        </w:rPr>
        <w:t>en</w:t>
      </w:r>
      <w:r w:rsidR="00CA006C" w:rsidRPr="002377E0">
        <w:rPr>
          <w:rFonts w:ascii="Arial" w:hAnsi="Arial" w:cs="Arial"/>
          <w:b/>
          <w:sz w:val="20"/>
          <w:szCs w:val="20"/>
        </w:rPr>
        <w:t>a za zajišťování dodávání</w:t>
      </w:r>
      <w:r w:rsidR="00603A91" w:rsidRPr="002377E0">
        <w:rPr>
          <w:rFonts w:ascii="Arial" w:hAnsi="Arial" w:cs="Arial"/>
          <w:b/>
          <w:sz w:val="20"/>
          <w:szCs w:val="20"/>
        </w:rPr>
        <w:t xml:space="preserve"> komodity</w:t>
      </w:r>
    </w:p>
    <w:p w14:paraId="06EBCD6A" w14:textId="1F9F2BBF" w:rsidR="00FB459A" w:rsidRPr="00646DC7" w:rsidRDefault="00FB459A" w:rsidP="00707A6C">
      <w:pPr>
        <w:spacing w:after="120"/>
        <w:ind w:left="397" w:hanging="397"/>
        <w:jc w:val="both"/>
        <w:rPr>
          <w:rFonts w:ascii="Arial" w:hAnsi="Arial" w:cs="Arial"/>
          <w:sz w:val="20"/>
          <w:szCs w:val="20"/>
        </w:rPr>
      </w:pPr>
      <w:r w:rsidRPr="00707A6C">
        <w:rPr>
          <w:rFonts w:ascii="Arial" w:hAnsi="Arial" w:cs="Arial"/>
          <w:sz w:val="20"/>
          <w:szCs w:val="20"/>
        </w:rPr>
        <w:t>1.</w:t>
      </w:r>
      <w:r>
        <w:rPr>
          <w:rFonts w:ascii="Arial" w:hAnsi="Arial" w:cs="Arial"/>
          <w:sz w:val="20"/>
        </w:rPr>
        <w:tab/>
      </w:r>
      <w:r w:rsidR="00435E5B">
        <w:rPr>
          <w:rFonts w:ascii="Arial" w:hAnsi="Arial" w:cs="Arial"/>
          <w:sz w:val="20"/>
        </w:rPr>
        <w:t>Jednotková c</w:t>
      </w:r>
      <w:r w:rsidR="00F12A71" w:rsidRPr="00646DC7">
        <w:rPr>
          <w:rFonts w:ascii="Arial" w:hAnsi="Arial" w:cs="Arial"/>
          <w:sz w:val="20"/>
        </w:rPr>
        <w:t xml:space="preserve">ena </w:t>
      </w:r>
      <w:r w:rsidR="007D7623">
        <w:rPr>
          <w:rFonts w:ascii="Arial" w:hAnsi="Arial" w:cs="Arial"/>
          <w:sz w:val="20"/>
        </w:rPr>
        <w:t>z</w:t>
      </w:r>
      <w:r w:rsidR="00F12A71" w:rsidRPr="00646DC7">
        <w:rPr>
          <w:rFonts w:ascii="Arial" w:hAnsi="Arial" w:cs="Arial"/>
          <w:sz w:val="20"/>
        </w:rPr>
        <w:t xml:space="preserve">a zajišťování dodávání trakční elektrické energie bez DPH za </w:t>
      </w:r>
      <w:r w:rsidR="00435E5B">
        <w:rPr>
          <w:rFonts w:ascii="Arial" w:hAnsi="Arial" w:cs="Arial"/>
          <w:sz w:val="20"/>
        </w:rPr>
        <w:t>spotřebu jedné</w:t>
      </w:r>
      <w:r w:rsidR="00F12A71" w:rsidRPr="00646DC7">
        <w:rPr>
          <w:rFonts w:ascii="Arial" w:hAnsi="Arial" w:cs="Arial"/>
          <w:sz w:val="20"/>
        </w:rPr>
        <w:t xml:space="preserve"> (1) megawatthodin</w:t>
      </w:r>
      <w:r w:rsidR="00435E5B">
        <w:rPr>
          <w:rFonts w:ascii="Arial" w:hAnsi="Arial" w:cs="Arial"/>
          <w:sz w:val="20"/>
        </w:rPr>
        <w:t>y</w:t>
      </w:r>
      <w:r w:rsidR="00F12A71" w:rsidRPr="00646DC7">
        <w:rPr>
          <w:rFonts w:ascii="Arial" w:hAnsi="Arial" w:cs="Arial"/>
          <w:sz w:val="20"/>
        </w:rPr>
        <w:t xml:space="preserve"> (</w:t>
      </w:r>
      <w:proofErr w:type="spellStart"/>
      <w:r w:rsidR="00F12A71" w:rsidRPr="00646DC7">
        <w:rPr>
          <w:rFonts w:ascii="Arial" w:hAnsi="Arial" w:cs="Arial"/>
          <w:sz w:val="20"/>
        </w:rPr>
        <w:t>MWh</w:t>
      </w:r>
      <w:proofErr w:type="spellEnd"/>
      <w:r w:rsidR="00F12A71" w:rsidRPr="00646DC7">
        <w:rPr>
          <w:rFonts w:ascii="Arial" w:hAnsi="Arial" w:cs="Arial"/>
          <w:sz w:val="20"/>
        </w:rPr>
        <w:t>) trakční elektrické energie</w:t>
      </w:r>
      <w:r w:rsidR="00C431C8">
        <w:rPr>
          <w:rFonts w:ascii="Arial" w:hAnsi="Arial" w:cs="Arial"/>
          <w:sz w:val="20"/>
        </w:rPr>
        <w:t xml:space="preserve"> dopravcem</w:t>
      </w:r>
      <w:r w:rsidR="000D693D" w:rsidRPr="000D693D">
        <w:rPr>
          <w:rFonts w:ascii="Arial" w:hAnsi="Arial" w:cs="Arial"/>
          <w:sz w:val="20"/>
        </w:rPr>
        <w:t xml:space="preserve"> </w:t>
      </w:r>
      <w:r w:rsidR="000D693D" w:rsidRPr="00646DC7">
        <w:rPr>
          <w:rFonts w:ascii="Arial" w:hAnsi="Arial" w:cs="Arial"/>
          <w:sz w:val="20"/>
        </w:rPr>
        <w:t xml:space="preserve">činí </w:t>
      </w:r>
      <w:r w:rsidR="004C25AD">
        <w:rPr>
          <w:rFonts w:ascii="Arial" w:hAnsi="Arial" w:cs="Arial"/>
          <w:sz w:val="20"/>
          <w:szCs w:val="20"/>
        </w:rPr>
        <w:t>pro rok [</w:t>
      </w:r>
      <w:r w:rsidR="004C25AD" w:rsidRPr="00C038BE">
        <w:rPr>
          <w:rFonts w:ascii="Arial" w:hAnsi="Arial" w:cs="Arial"/>
          <w:sz w:val="20"/>
          <w:szCs w:val="20"/>
          <w:highlight w:val="yellow"/>
        </w:rPr>
        <w:t>bude doplněn rok účinnost</w:t>
      </w:r>
      <w:r w:rsidR="004C25AD">
        <w:rPr>
          <w:rFonts w:ascii="Arial" w:hAnsi="Arial" w:cs="Arial"/>
          <w:sz w:val="20"/>
          <w:szCs w:val="20"/>
          <w:highlight w:val="yellow"/>
        </w:rPr>
        <w:t>i</w:t>
      </w:r>
      <w:r w:rsidR="004C25AD" w:rsidRPr="00C038BE">
        <w:rPr>
          <w:rFonts w:ascii="Arial" w:hAnsi="Arial" w:cs="Arial"/>
          <w:sz w:val="20"/>
          <w:szCs w:val="20"/>
          <w:highlight w:val="yellow"/>
        </w:rPr>
        <w:t xml:space="preserve"> této smlouvy o dodávkách</w:t>
      </w:r>
      <w:r w:rsidR="004C25AD">
        <w:rPr>
          <w:rFonts w:ascii="Arial" w:hAnsi="Arial" w:cs="Arial"/>
          <w:sz w:val="20"/>
          <w:szCs w:val="20"/>
        </w:rPr>
        <w:t xml:space="preserve">] </w:t>
      </w:r>
      <w:r w:rsidR="000D693D" w:rsidRPr="00646DC7">
        <w:rPr>
          <w:rFonts w:ascii="Arial" w:hAnsi="Arial" w:cs="Arial"/>
          <w:sz w:val="20"/>
        </w:rPr>
        <w:t>částku ve výši</w:t>
      </w:r>
      <w:r w:rsidR="00E30468">
        <w:rPr>
          <w:rFonts w:ascii="Arial" w:hAnsi="Arial" w:cs="Arial"/>
          <w:sz w:val="20"/>
        </w:rPr>
        <w:t xml:space="preserve"> </w:t>
      </w:r>
      <w:r w:rsidR="004C25AD" w:rsidRPr="0062608C">
        <w:rPr>
          <w:rFonts w:ascii="Arial" w:hAnsi="Arial" w:cs="Arial"/>
          <w:b/>
          <w:sz w:val="20"/>
        </w:rPr>
        <w:t>[</w:t>
      </w:r>
      <w:r w:rsidR="004C25AD" w:rsidRPr="0062608C">
        <w:rPr>
          <w:rFonts w:ascii="Arial" w:hAnsi="Arial" w:cs="Arial"/>
          <w:b/>
          <w:sz w:val="20"/>
          <w:highlight w:val="yellow"/>
        </w:rPr>
        <w:t>bude doplněno</w:t>
      </w:r>
      <w:r w:rsidR="004C25AD" w:rsidRPr="0062608C">
        <w:rPr>
          <w:rFonts w:ascii="Arial" w:hAnsi="Arial" w:cs="Arial"/>
          <w:b/>
          <w:sz w:val="20"/>
        </w:rPr>
        <w:t>]</w:t>
      </w:r>
      <w:r w:rsidR="00E30468" w:rsidRPr="00E30468">
        <w:rPr>
          <w:rFonts w:ascii="Arial" w:hAnsi="Arial" w:cs="Arial"/>
          <w:b/>
          <w:sz w:val="20"/>
        </w:rPr>
        <w:t xml:space="preserve"> Kč/</w:t>
      </w:r>
      <w:r w:rsidR="00E30468">
        <w:rPr>
          <w:rFonts w:ascii="Arial" w:hAnsi="Arial" w:cs="Arial"/>
          <w:b/>
          <w:sz w:val="20"/>
        </w:rPr>
        <w:t xml:space="preserve"> </w:t>
      </w:r>
      <w:proofErr w:type="spellStart"/>
      <w:r w:rsidR="00E30468" w:rsidRPr="00E30468">
        <w:rPr>
          <w:rFonts w:ascii="Arial" w:hAnsi="Arial" w:cs="Arial"/>
          <w:b/>
          <w:sz w:val="20"/>
        </w:rPr>
        <w:t>MWh</w:t>
      </w:r>
      <w:proofErr w:type="spellEnd"/>
      <w:r>
        <w:rPr>
          <w:rFonts w:ascii="Arial" w:hAnsi="Arial" w:cs="Arial"/>
          <w:sz w:val="20"/>
        </w:rPr>
        <w:t xml:space="preserve">, a </w:t>
      </w:r>
      <w:r w:rsidR="006B2F3D">
        <w:rPr>
          <w:rFonts w:ascii="Arial" w:hAnsi="Arial" w:cs="Arial"/>
          <w:sz w:val="20"/>
        </w:rPr>
        <w:t>skládá se z </w:t>
      </w:r>
      <w:r w:rsidR="006B2F3D">
        <w:rPr>
          <w:rFonts w:ascii="Arial" w:hAnsi="Arial" w:cs="Arial"/>
          <w:sz w:val="20"/>
          <w:szCs w:val="20"/>
        </w:rPr>
        <w:t xml:space="preserve">nákladů </w:t>
      </w:r>
      <w:r w:rsidRPr="00221465">
        <w:rPr>
          <w:rFonts w:ascii="Arial" w:hAnsi="Arial" w:cs="Arial"/>
          <w:sz w:val="20"/>
          <w:szCs w:val="20"/>
        </w:rPr>
        <w:t xml:space="preserve">vznikajících provozovateli při poskytování služby dodávek </w:t>
      </w:r>
      <w:r w:rsidR="00A738CF">
        <w:rPr>
          <w:rFonts w:ascii="Arial" w:hAnsi="Arial" w:cs="Arial"/>
          <w:sz w:val="20"/>
          <w:szCs w:val="20"/>
        </w:rPr>
        <w:t>a</w:t>
      </w:r>
      <w:r w:rsidRPr="00221465">
        <w:rPr>
          <w:rFonts w:ascii="Arial" w:hAnsi="Arial" w:cs="Arial"/>
          <w:sz w:val="20"/>
          <w:szCs w:val="20"/>
        </w:rPr>
        <w:t xml:space="preserve"> </w:t>
      </w:r>
      <w:r w:rsidR="00A738CF" w:rsidRPr="003A66F7">
        <w:rPr>
          <w:rFonts w:ascii="Arial" w:hAnsi="Arial" w:cs="Arial"/>
          <w:sz w:val="20"/>
          <w:szCs w:val="20"/>
        </w:rPr>
        <w:t>přiměřeného zisku</w:t>
      </w:r>
      <w:r w:rsidR="00A738CF" w:rsidRPr="00A738CF">
        <w:rPr>
          <w:rFonts w:ascii="Arial" w:hAnsi="Arial" w:cs="Arial"/>
          <w:sz w:val="20"/>
          <w:szCs w:val="20"/>
        </w:rPr>
        <w:t xml:space="preserve"> </w:t>
      </w:r>
      <w:r w:rsidR="00A738CF" w:rsidRPr="00221465">
        <w:rPr>
          <w:rFonts w:ascii="Arial" w:hAnsi="Arial" w:cs="Arial"/>
          <w:sz w:val="20"/>
          <w:szCs w:val="20"/>
        </w:rPr>
        <w:t>provozovatele</w:t>
      </w:r>
      <w:r w:rsidR="00A738CF">
        <w:rPr>
          <w:rFonts w:ascii="Arial" w:hAnsi="Arial" w:cs="Arial"/>
          <w:sz w:val="20"/>
          <w:szCs w:val="20"/>
        </w:rPr>
        <w:t xml:space="preserve"> ve výši 5 % této </w:t>
      </w:r>
      <w:r w:rsidR="00813792">
        <w:rPr>
          <w:rFonts w:ascii="Arial" w:hAnsi="Arial" w:cs="Arial"/>
          <w:sz w:val="20"/>
          <w:szCs w:val="20"/>
        </w:rPr>
        <w:t>z</w:t>
      </w:r>
      <w:r w:rsidR="004C25AD">
        <w:rPr>
          <w:rFonts w:ascii="Arial" w:hAnsi="Arial" w:cs="Arial"/>
          <w:sz w:val="20"/>
          <w:szCs w:val="20"/>
        </w:rPr>
        <w:t> </w:t>
      </w:r>
      <w:r w:rsidR="00A738CF">
        <w:rPr>
          <w:rFonts w:ascii="Arial" w:hAnsi="Arial" w:cs="Arial"/>
          <w:sz w:val="20"/>
          <w:szCs w:val="20"/>
        </w:rPr>
        <w:t xml:space="preserve">jednotkové ceny </w:t>
      </w:r>
      <w:r w:rsidR="00C431C8">
        <w:rPr>
          <w:rFonts w:ascii="Arial" w:hAnsi="Arial" w:cs="Arial"/>
          <w:sz w:val="20"/>
          <w:szCs w:val="20"/>
        </w:rPr>
        <w:t>(dále jen „</w:t>
      </w:r>
      <w:r w:rsidR="00C431C8" w:rsidRPr="00646DC7">
        <w:rPr>
          <w:rFonts w:ascii="Arial" w:hAnsi="Arial" w:cs="Arial"/>
          <w:b/>
          <w:sz w:val="20"/>
          <w:szCs w:val="20"/>
        </w:rPr>
        <w:t>jednotková cena</w:t>
      </w:r>
      <w:r w:rsidR="00C431C8">
        <w:rPr>
          <w:rFonts w:ascii="Arial" w:hAnsi="Arial" w:cs="Arial"/>
          <w:sz w:val="20"/>
          <w:szCs w:val="20"/>
        </w:rPr>
        <w:t>“)</w:t>
      </w:r>
      <w:r w:rsidR="00A738CF">
        <w:rPr>
          <w:rFonts w:ascii="Arial" w:hAnsi="Arial" w:cs="Arial"/>
          <w:sz w:val="20"/>
          <w:szCs w:val="20"/>
        </w:rPr>
        <w:t>, to vše</w:t>
      </w:r>
      <w:r w:rsidR="00DF583F">
        <w:rPr>
          <w:rFonts w:ascii="Arial" w:hAnsi="Arial" w:cs="Arial"/>
          <w:sz w:val="20"/>
          <w:szCs w:val="20"/>
        </w:rPr>
        <w:t xml:space="preserve"> stanoven</w:t>
      </w:r>
      <w:r w:rsidR="00A738CF">
        <w:rPr>
          <w:rFonts w:ascii="Arial" w:hAnsi="Arial" w:cs="Arial"/>
          <w:sz w:val="20"/>
          <w:szCs w:val="20"/>
        </w:rPr>
        <w:t>é</w:t>
      </w:r>
      <w:r w:rsidR="00DF583F">
        <w:rPr>
          <w:rFonts w:ascii="Arial" w:hAnsi="Arial" w:cs="Arial"/>
          <w:sz w:val="20"/>
          <w:szCs w:val="20"/>
        </w:rPr>
        <w:t xml:space="preserve"> v souladu s</w:t>
      </w:r>
      <w:r w:rsidR="00A738CF">
        <w:rPr>
          <w:rFonts w:ascii="Arial" w:hAnsi="Arial" w:cs="Arial"/>
          <w:sz w:val="20"/>
          <w:szCs w:val="20"/>
        </w:rPr>
        <w:t> právními předpisy, zejména s</w:t>
      </w:r>
      <w:r w:rsidR="00DF583F">
        <w:rPr>
          <w:rFonts w:ascii="Arial" w:hAnsi="Arial" w:cs="Arial"/>
          <w:sz w:val="20"/>
          <w:szCs w:val="20"/>
        </w:rPr>
        <w:t> cenovými předpisy</w:t>
      </w:r>
      <w:r w:rsidR="00511D90">
        <w:rPr>
          <w:rFonts w:ascii="Arial" w:hAnsi="Arial" w:cs="Arial"/>
          <w:sz w:val="20"/>
          <w:szCs w:val="20"/>
        </w:rPr>
        <w:t xml:space="preserve"> a zákonem o dráhách</w:t>
      </w:r>
      <w:r w:rsidR="006B2F3D">
        <w:rPr>
          <w:rFonts w:ascii="Arial" w:hAnsi="Arial" w:cs="Arial"/>
          <w:sz w:val="20"/>
          <w:szCs w:val="20"/>
        </w:rPr>
        <w:t>.</w:t>
      </w:r>
      <w:r w:rsidR="00A96D06">
        <w:rPr>
          <w:rFonts w:ascii="Arial" w:hAnsi="Arial" w:cs="Arial"/>
          <w:sz w:val="20"/>
          <w:szCs w:val="20"/>
        </w:rPr>
        <w:t xml:space="preserve"> </w:t>
      </w:r>
      <w:r w:rsidR="00A96D06" w:rsidRPr="00A96D06">
        <w:rPr>
          <w:rFonts w:ascii="Arial" w:hAnsi="Arial" w:cs="Arial"/>
          <w:sz w:val="20"/>
          <w:szCs w:val="20"/>
        </w:rPr>
        <w:t xml:space="preserve">Smluvní strany sjednaly, že struktura jednotkové ceny pro každý rok účinnosti této smlouvy o dodávkách musí vždy zahrnovat náklady, které budou </w:t>
      </w:r>
      <w:r w:rsidR="00A96D06" w:rsidRPr="00A96D06">
        <w:rPr>
          <w:rFonts w:ascii="Arial" w:hAnsi="Arial" w:cs="Arial"/>
          <w:sz w:val="20"/>
          <w:szCs w:val="20"/>
        </w:rPr>
        <w:lastRenderedPageBreak/>
        <w:t>provozovateli vznikat při poskytování služby dodávek v takovém roce, a dále jeho přiměřený zisk ve výši 5 % z jednotkové ceny. O výsledné jednotkové ceně pro příslušný rok účinnosti této smlouvy o dodávkách bude dopravce informován způsobem dle článku 6 odst. 4 nebo 5 této smlouvy o dodávkách.</w:t>
      </w:r>
    </w:p>
    <w:p w14:paraId="68E73016" w14:textId="67177614" w:rsidR="00B04F69" w:rsidRDefault="00B04F69" w:rsidP="00FB459A">
      <w:pPr>
        <w:spacing w:after="120"/>
        <w:ind w:left="397" w:hanging="397"/>
        <w:jc w:val="both"/>
        <w:rPr>
          <w:rFonts w:ascii="Arial" w:hAnsi="Arial" w:cs="Arial"/>
          <w:sz w:val="20"/>
          <w:szCs w:val="20"/>
        </w:rPr>
      </w:pPr>
      <w:r w:rsidRPr="00BC3B0C">
        <w:rPr>
          <w:rFonts w:ascii="Arial" w:hAnsi="Arial" w:cs="Arial"/>
          <w:sz w:val="20"/>
          <w:szCs w:val="20"/>
        </w:rPr>
        <w:t>2.</w:t>
      </w:r>
      <w:r w:rsidRPr="00BC3B0C">
        <w:rPr>
          <w:rFonts w:ascii="Arial" w:hAnsi="Arial" w:cs="Arial"/>
          <w:sz w:val="20"/>
          <w:szCs w:val="20"/>
        </w:rPr>
        <w:tab/>
        <w:t xml:space="preserve">Dopravce se zavazuje hradit provozovateli za příslušné </w:t>
      </w:r>
      <w:r>
        <w:rPr>
          <w:rFonts w:ascii="Arial" w:hAnsi="Arial" w:cs="Arial"/>
          <w:sz w:val="20"/>
          <w:szCs w:val="20"/>
        </w:rPr>
        <w:t xml:space="preserve">fakturační </w:t>
      </w:r>
      <w:r w:rsidRPr="00BC3B0C">
        <w:rPr>
          <w:rFonts w:ascii="Arial" w:hAnsi="Arial" w:cs="Arial"/>
          <w:sz w:val="20"/>
          <w:szCs w:val="20"/>
        </w:rPr>
        <w:t xml:space="preserve">období cenu za </w:t>
      </w:r>
      <w:r w:rsidR="00FB459A">
        <w:rPr>
          <w:rFonts w:ascii="Arial" w:hAnsi="Arial" w:cs="Arial"/>
          <w:sz w:val="20"/>
          <w:szCs w:val="20"/>
        </w:rPr>
        <w:t xml:space="preserve">zajišťování dodávání </w:t>
      </w:r>
      <w:r w:rsidRPr="00BC3B0C">
        <w:rPr>
          <w:rFonts w:ascii="Arial" w:hAnsi="Arial" w:cs="Arial"/>
          <w:sz w:val="20"/>
          <w:szCs w:val="20"/>
        </w:rPr>
        <w:t xml:space="preserve">trakční elektrické energie. Smluvní strany se dohodly, že cena za </w:t>
      </w:r>
      <w:r w:rsidR="00FB459A">
        <w:rPr>
          <w:rFonts w:ascii="Arial" w:hAnsi="Arial" w:cs="Arial"/>
          <w:sz w:val="20"/>
          <w:szCs w:val="20"/>
        </w:rPr>
        <w:t>zajišťování dodávání</w:t>
      </w:r>
      <w:r w:rsidRPr="00BC3B0C">
        <w:rPr>
          <w:rFonts w:ascii="Arial" w:hAnsi="Arial" w:cs="Arial"/>
          <w:sz w:val="20"/>
          <w:szCs w:val="20"/>
        </w:rPr>
        <w:t xml:space="preserve"> trakční elektrické </w:t>
      </w:r>
      <w:r>
        <w:rPr>
          <w:rFonts w:ascii="Arial" w:hAnsi="Arial" w:cs="Arial"/>
          <w:sz w:val="20"/>
          <w:szCs w:val="20"/>
        </w:rPr>
        <w:t xml:space="preserve">energie </w:t>
      </w:r>
      <w:r w:rsidRPr="00BC3B0C">
        <w:rPr>
          <w:rFonts w:ascii="Arial" w:hAnsi="Arial" w:cs="Arial"/>
          <w:sz w:val="20"/>
          <w:szCs w:val="20"/>
        </w:rPr>
        <w:t xml:space="preserve">se </w:t>
      </w:r>
      <w:r>
        <w:rPr>
          <w:rFonts w:ascii="Arial" w:hAnsi="Arial" w:cs="Arial"/>
          <w:sz w:val="20"/>
          <w:szCs w:val="20"/>
        </w:rPr>
        <w:t xml:space="preserve">vypočítá </w:t>
      </w:r>
      <w:r w:rsidRPr="00707A6C">
        <w:rPr>
          <w:rFonts w:ascii="Arial" w:hAnsi="Arial" w:cs="Arial"/>
          <w:sz w:val="20"/>
          <w:szCs w:val="20"/>
        </w:rPr>
        <w:t xml:space="preserve">součinem </w:t>
      </w:r>
      <w:r w:rsidR="00435E5B" w:rsidRPr="00707A6C">
        <w:rPr>
          <w:rFonts w:ascii="Arial" w:hAnsi="Arial" w:cs="Arial"/>
          <w:sz w:val="20"/>
          <w:szCs w:val="20"/>
        </w:rPr>
        <w:t xml:space="preserve">jednotkové </w:t>
      </w:r>
      <w:r w:rsidR="00FB459A" w:rsidRPr="00707A6C">
        <w:rPr>
          <w:rFonts w:ascii="Arial" w:hAnsi="Arial" w:cs="Arial"/>
          <w:sz w:val="20"/>
        </w:rPr>
        <w:t>ceny</w:t>
      </w:r>
      <w:r w:rsidR="00FB459A" w:rsidRPr="00C27851">
        <w:rPr>
          <w:rFonts w:ascii="Arial" w:hAnsi="Arial" w:cs="Arial"/>
          <w:sz w:val="20"/>
        </w:rPr>
        <w:t xml:space="preserve"> </w:t>
      </w:r>
      <w:r w:rsidRPr="00BC3B0C">
        <w:rPr>
          <w:rFonts w:ascii="Arial" w:hAnsi="Arial" w:cs="Arial"/>
          <w:sz w:val="20"/>
          <w:szCs w:val="20"/>
        </w:rPr>
        <w:t>a spotřeb</w:t>
      </w:r>
      <w:r>
        <w:rPr>
          <w:rFonts w:ascii="Arial" w:hAnsi="Arial" w:cs="Arial"/>
          <w:sz w:val="20"/>
          <w:szCs w:val="20"/>
        </w:rPr>
        <w:t>y</w:t>
      </w:r>
      <w:r w:rsidRPr="00BC3B0C">
        <w:rPr>
          <w:rFonts w:ascii="Arial" w:hAnsi="Arial" w:cs="Arial"/>
          <w:sz w:val="20"/>
          <w:szCs w:val="20"/>
        </w:rPr>
        <w:t xml:space="preserve"> trakční elektrické energie dopravcem </w:t>
      </w:r>
      <w:r>
        <w:rPr>
          <w:rFonts w:ascii="Arial" w:hAnsi="Arial" w:cs="Arial"/>
          <w:sz w:val="20"/>
          <w:szCs w:val="20"/>
        </w:rPr>
        <w:t xml:space="preserve">stanovené za příslušné fakturační období </w:t>
      </w:r>
      <w:r w:rsidRPr="00BC3B0C">
        <w:rPr>
          <w:rFonts w:ascii="Arial" w:hAnsi="Arial" w:cs="Arial"/>
          <w:sz w:val="20"/>
          <w:szCs w:val="20"/>
        </w:rPr>
        <w:t xml:space="preserve">dle článku 3 </w:t>
      </w:r>
      <w:proofErr w:type="gramStart"/>
      <w:r w:rsidRPr="00BC3B0C">
        <w:rPr>
          <w:rFonts w:ascii="Arial" w:hAnsi="Arial" w:cs="Arial"/>
          <w:sz w:val="20"/>
          <w:szCs w:val="20"/>
        </w:rPr>
        <w:t>této</w:t>
      </w:r>
      <w:proofErr w:type="gramEnd"/>
      <w:r w:rsidRPr="00BC3B0C">
        <w:rPr>
          <w:rFonts w:ascii="Arial" w:hAnsi="Arial" w:cs="Arial"/>
          <w:sz w:val="20"/>
          <w:szCs w:val="20"/>
        </w:rPr>
        <w:t xml:space="preserve"> smlouvy o dodávkách (dále jen „</w:t>
      </w:r>
      <w:r w:rsidRPr="002965E2">
        <w:rPr>
          <w:rFonts w:ascii="Arial" w:hAnsi="Arial" w:cs="Arial"/>
          <w:b/>
          <w:sz w:val="20"/>
          <w:szCs w:val="20"/>
        </w:rPr>
        <w:t xml:space="preserve">cena za </w:t>
      </w:r>
      <w:r w:rsidR="00FB459A">
        <w:rPr>
          <w:rFonts w:ascii="Arial" w:hAnsi="Arial" w:cs="Arial"/>
          <w:b/>
          <w:sz w:val="20"/>
          <w:szCs w:val="20"/>
        </w:rPr>
        <w:t>zajišťování dodávání komodity</w:t>
      </w:r>
      <w:r w:rsidRPr="00BC3B0C">
        <w:rPr>
          <w:rFonts w:ascii="Arial" w:hAnsi="Arial" w:cs="Arial"/>
          <w:sz w:val="20"/>
          <w:szCs w:val="20"/>
        </w:rPr>
        <w:t>“).</w:t>
      </w:r>
    </w:p>
    <w:p w14:paraId="0A994F7E" w14:textId="40D6684A" w:rsidR="00435E5B" w:rsidRDefault="00FB459A" w:rsidP="00435E5B">
      <w:pPr>
        <w:spacing w:after="120"/>
        <w:ind w:left="397" w:hanging="397"/>
        <w:jc w:val="both"/>
        <w:rPr>
          <w:rFonts w:ascii="Arial" w:hAnsi="Arial" w:cs="Arial"/>
          <w:sz w:val="20"/>
          <w:szCs w:val="20"/>
        </w:rPr>
      </w:pPr>
      <w:r>
        <w:rPr>
          <w:rFonts w:ascii="Arial" w:hAnsi="Arial" w:cs="Arial"/>
          <w:sz w:val="20"/>
          <w:szCs w:val="20"/>
        </w:rPr>
        <w:t>3.</w:t>
      </w:r>
      <w:r>
        <w:rPr>
          <w:rFonts w:ascii="Arial" w:hAnsi="Arial" w:cs="Arial"/>
          <w:sz w:val="20"/>
          <w:szCs w:val="20"/>
        </w:rPr>
        <w:tab/>
      </w:r>
      <w:r w:rsidR="00435E5B" w:rsidRPr="00BC3B0C">
        <w:rPr>
          <w:rFonts w:ascii="Arial" w:hAnsi="Arial" w:cs="Arial"/>
          <w:sz w:val="20"/>
          <w:szCs w:val="20"/>
        </w:rPr>
        <w:t xml:space="preserve">Nedohodnou-li se smluvní strany jinak, bere dopravce tímto na vědomí a podpisem této smlouvy o dodávkách souhlasí s tím, že provozovatel </w:t>
      </w:r>
      <w:r w:rsidR="00435E5B">
        <w:rPr>
          <w:rFonts w:ascii="Arial" w:hAnsi="Arial" w:cs="Arial"/>
          <w:sz w:val="20"/>
          <w:szCs w:val="20"/>
        </w:rPr>
        <w:t>může</w:t>
      </w:r>
      <w:r w:rsidR="00435E5B" w:rsidRPr="00BC3B0C">
        <w:rPr>
          <w:rFonts w:ascii="Arial" w:hAnsi="Arial" w:cs="Arial"/>
          <w:sz w:val="20"/>
          <w:szCs w:val="20"/>
        </w:rPr>
        <w:t xml:space="preserve"> pro </w:t>
      </w:r>
      <w:r w:rsidR="001B3E7F">
        <w:rPr>
          <w:rFonts w:ascii="Arial" w:hAnsi="Arial" w:cs="Arial"/>
          <w:sz w:val="20"/>
          <w:szCs w:val="20"/>
        </w:rPr>
        <w:t xml:space="preserve">každý rok účinnosti této smlouvy o dodávkách následující po roce </w:t>
      </w:r>
      <w:r w:rsidR="004C25AD">
        <w:rPr>
          <w:rFonts w:ascii="Arial" w:hAnsi="Arial" w:cs="Arial"/>
          <w:sz w:val="20"/>
          <w:szCs w:val="20"/>
        </w:rPr>
        <w:t>[</w:t>
      </w:r>
      <w:r w:rsidR="004C25AD" w:rsidRPr="00C038BE">
        <w:rPr>
          <w:rFonts w:ascii="Arial" w:hAnsi="Arial" w:cs="Arial"/>
          <w:sz w:val="20"/>
          <w:szCs w:val="20"/>
          <w:highlight w:val="yellow"/>
        </w:rPr>
        <w:t>bude doplněn rok účinnost</w:t>
      </w:r>
      <w:r w:rsidR="004C25AD">
        <w:rPr>
          <w:rFonts w:ascii="Arial" w:hAnsi="Arial" w:cs="Arial"/>
          <w:sz w:val="20"/>
          <w:szCs w:val="20"/>
          <w:highlight w:val="yellow"/>
        </w:rPr>
        <w:t>i</w:t>
      </w:r>
      <w:r w:rsidR="004C25AD" w:rsidRPr="00C038BE">
        <w:rPr>
          <w:rFonts w:ascii="Arial" w:hAnsi="Arial" w:cs="Arial"/>
          <w:sz w:val="20"/>
          <w:szCs w:val="20"/>
          <w:highlight w:val="yellow"/>
        </w:rPr>
        <w:t xml:space="preserve"> této smlouvy o dodávkách</w:t>
      </w:r>
      <w:r w:rsidR="004C25AD">
        <w:rPr>
          <w:rFonts w:ascii="Arial" w:hAnsi="Arial" w:cs="Arial"/>
          <w:sz w:val="20"/>
          <w:szCs w:val="20"/>
        </w:rPr>
        <w:t>]</w:t>
      </w:r>
      <w:r w:rsidR="001B3E7F">
        <w:rPr>
          <w:rFonts w:ascii="Arial" w:hAnsi="Arial" w:cs="Arial"/>
          <w:sz w:val="20"/>
          <w:szCs w:val="20"/>
        </w:rPr>
        <w:t xml:space="preserve"> </w:t>
      </w:r>
      <w:r w:rsidR="00C431C8">
        <w:rPr>
          <w:rFonts w:ascii="Arial" w:hAnsi="Arial" w:cs="Arial"/>
          <w:sz w:val="20"/>
          <w:szCs w:val="20"/>
        </w:rPr>
        <w:t>jednotkovou</w:t>
      </w:r>
      <w:r w:rsidR="00C431C8" w:rsidRPr="00C27851">
        <w:rPr>
          <w:rFonts w:ascii="Arial" w:hAnsi="Arial" w:cs="Arial"/>
          <w:sz w:val="20"/>
          <w:szCs w:val="20"/>
        </w:rPr>
        <w:t xml:space="preserve"> </w:t>
      </w:r>
      <w:r w:rsidR="00C431C8" w:rsidRPr="00C27851">
        <w:rPr>
          <w:rFonts w:ascii="Arial" w:hAnsi="Arial" w:cs="Arial"/>
          <w:sz w:val="20"/>
        </w:rPr>
        <w:t>cen</w:t>
      </w:r>
      <w:r w:rsidR="00C431C8">
        <w:rPr>
          <w:rFonts w:ascii="Arial" w:hAnsi="Arial" w:cs="Arial"/>
          <w:sz w:val="20"/>
        </w:rPr>
        <w:t>u</w:t>
      </w:r>
      <w:r w:rsidR="00C431C8" w:rsidRPr="00C27851">
        <w:rPr>
          <w:rFonts w:ascii="Arial" w:hAnsi="Arial" w:cs="Arial"/>
          <w:sz w:val="20"/>
        </w:rPr>
        <w:t xml:space="preserve"> </w:t>
      </w:r>
      <w:r w:rsidR="00C431C8">
        <w:rPr>
          <w:rFonts w:ascii="Arial" w:hAnsi="Arial" w:cs="Arial"/>
          <w:sz w:val="20"/>
          <w:szCs w:val="20"/>
        </w:rPr>
        <w:t>měnit</w:t>
      </w:r>
      <w:r w:rsidR="00435E5B">
        <w:rPr>
          <w:rFonts w:ascii="Arial" w:hAnsi="Arial" w:cs="Arial"/>
          <w:sz w:val="20"/>
          <w:szCs w:val="20"/>
        </w:rPr>
        <w:t xml:space="preserve"> v závislosti na </w:t>
      </w:r>
      <w:r w:rsidR="00984D05">
        <w:rPr>
          <w:rFonts w:ascii="Arial" w:hAnsi="Arial" w:cs="Arial"/>
          <w:sz w:val="20"/>
          <w:szCs w:val="20"/>
        </w:rPr>
        <w:t xml:space="preserve">změně </w:t>
      </w:r>
      <w:r w:rsidR="00673B16">
        <w:rPr>
          <w:rFonts w:ascii="Arial" w:hAnsi="Arial" w:cs="Arial"/>
          <w:sz w:val="20"/>
          <w:szCs w:val="20"/>
        </w:rPr>
        <w:t xml:space="preserve">rozsahu </w:t>
      </w:r>
      <w:r w:rsidR="00984D05">
        <w:rPr>
          <w:rFonts w:ascii="Arial" w:hAnsi="Arial" w:cs="Arial"/>
          <w:sz w:val="20"/>
          <w:szCs w:val="20"/>
        </w:rPr>
        <w:t xml:space="preserve">nákladů anebo jejich </w:t>
      </w:r>
      <w:r w:rsidR="00435E5B">
        <w:rPr>
          <w:rFonts w:ascii="Arial" w:hAnsi="Arial" w:cs="Arial"/>
          <w:sz w:val="20"/>
          <w:szCs w:val="20"/>
        </w:rPr>
        <w:t>výš</w:t>
      </w:r>
      <w:r w:rsidR="00984D05">
        <w:rPr>
          <w:rFonts w:ascii="Arial" w:hAnsi="Arial" w:cs="Arial"/>
          <w:sz w:val="20"/>
          <w:szCs w:val="20"/>
        </w:rPr>
        <w:t>e</w:t>
      </w:r>
      <w:r w:rsidR="00435E5B">
        <w:rPr>
          <w:rFonts w:ascii="Arial" w:hAnsi="Arial" w:cs="Arial"/>
          <w:sz w:val="20"/>
          <w:szCs w:val="20"/>
        </w:rPr>
        <w:t xml:space="preserve">, které provozovateli </w:t>
      </w:r>
      <w:r w:rsidR="00435E5B" w:rsidRPr="00221465">
        <w:rPr>
          <w:rFonts w:ascii="Arial" w:hAnsi="Arial" w:cs="Arial"/>
          <w:sz w:val="20"/>
          <w:szCs w:val="20"/>
        </w:rPr>
        <w:t>při poskytování služby dodávek</w:t>
      </w:r>
      <w:r w:rsidR="00984D05" w:rsidRPr="00984D05">
        <w:rPr>
          <w:rFonts w:ascii="Arial" w:hAnsi="Arial" w:cs="Arial"/>
          <w:sz w:val="20"/>
          <w:szCs w:val="20"/>
        </w:rPr>
        <w:t xml:space="preserve"> </w:t>
      </w:r>
      <w:r w:rsidR="00984D05">
        <w:rPr>
          <w:rFonts w:ascii="Arial" w:hAnsi="Arial" w:cs="Arial"/>
          <w:sz w:val="20"/>
          <w:szCs w:val="20"/>
        </w:rPr>
        <w:t>vznikají nebo vznikat budou</w:t>
      </w:r>
      <w:r w:rsidR="00DB1522">
        <w:rPr>
          <w:rFonts w:ascii="Arial" w:hAnsi="Arial" w:cs="Arial"/>
          <w:sz w:val="20"/>
          <w:szCs w:val="20"/>
        </w:rPr>
        <w:t xml:space="preserve">, </w:t>
      </w:r>
      <w:r w:rsidR="007B0284">
        <w:rPr>
          <w:rFonts w:ascii="Arial" w:hAnsi="Arial" w:cs="Arial"/>
          <w:sz w:val="20"/>
          <w:szCs w:val="20"/>
        </w:rPr>
        <w:t xml:space="preserve">to vše </w:t>
      </w:r>
      <w:r w:rsidR="00DB1522">
        <w:rPr>
          <w:rFonts w:ascii="Arial" w:hAnsi="Arial" w:cs="Arial"/>
          <w:sz w:val="20"/>
          <w:szCs w:val="20"/>
        </w:rPr>
        <w:t xml:space="preserve">vždy v souladu s cenovými předpisy </w:t>
      </w:r>
      <w:r w:rsidR="004361F6">
        <w:rPr>
          <w:rFonts w:ascii="Arial" w:hAnsi="Arial" w:cs="Arial"/>
          <w:sz w:val="20"/>
          <w:szCs w:val="20"/>
        </w:rPr>
        <w:t xml:space="preserve">a </w:t>
      </w:r>
      <w:r w:rsidR="00DB1522">
        <w:rPr>
          <w:rFonts w:ascii="Arial" w:hAnsi="Arial" w:cs="Arial"/>
          <w:sz w:val="20"/>
          <w:szCs w:val="20"/>
        </w:rPr>
        <w:t>zákon</w:t>
      </w:r>
      <w:r w:rsidR="004361F6">
        <w:rPr>
          <w:rFonts w:ascii="Arial" w:hAnsi="Arial" w:cs="Arial"/>
          <w:sz w:val="20"/>
          <w:szCs w:val="20"/>
        </w:rPr>
        <w:t>em</w:t>
      </w:r>
      <w:r w:rsidR="00DB1522">
        <w:rPr>
          <w:rFonts w:ascii="Arial" w:hAnsi="Arial" w:cs="Arial"/>
          <w:sz w:val="20"/>
          <w:szCs w:val="20"/>
        </w:rPr>
        <w:t xml:space="preserve"> o dráhách</w:t>
      </w:r>
      <w:r w:rsidR="00435E5B">
        <w:rPr>
          <w:rFonts w:ascii="Arial" w:hAnsi="Arial" w:cs="Arial"/>
          <w:sz w:val="20"/>
          <w:szCs w:val="20"/>
        </w:rPr>
        <w:t>.</w:t>
      </w:r>
      <w:r w:rsidR="008E65D6">
        <w:rPr>
          <w:rFonts w:ascii="Arial" w:hAnsi="Arial" w:cs="Arial"/>
          <w:sz w:val="20"/>
          <w:szCs w:val="20"/>
        </w:rPr>
        <w:t xml:space="preserve"> </w:t>
      </w:r>
    </w:p>
    <w:p w14:paraId="0871EFC9" w14:textId="7A6B6652" w:rsidR="00673B16" w:rsidRPr="00BC3B0C" w:rsidRDefault="00743EA5" w:rsidP="00673B16">
      <w:pPr>
        <w:spacing w:after="120"/>
        <w:ind w:left="397" w:hanging="397"/>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Provozovatel je oprávněn </w:t>
      </w:r>
      <w:r w:rsidRPr="00BC3B0C">
        <w:rPr>
          <w:rFonts w:ascii="Arial" w:hAnsi="Arial" w:cs="Arial"/>
          <w:sz w:val="20"/>
          <w:szCs w:val="20"/>
        </w:rPr>
        <w:t>oznám</w:t>
      </w:r>
      <w:r>
        <w:rPr>
          <w:rFonts w:ascii="Arial" w:hAnsi="Arial" w:cs="Arial"/>
          <w:sz w:val="20"/>
          <w:szCs w:val="20"/>
        </w:rPr>
        <w:t>it</w:t>
      </w:r>
      <w:r w:rsidRPr="00BC3B0C">
        <w:rPr>
          <w:rFonts w:ascii="Arial" w:hAnsi="Arial" w:cs="Arial"/>
          <w:sz w:val="20"/>
          <w:szCs w:val="20"/>
        </w:rPr>
        <w:t xml:space="preserve"> </w:t>
      </w:r>
      <w:r>
        <w:rPr>
          <w:rFonts w:ascii="Arial" w:hAnsi="Arial" w:cs="Arial"/>
          <w:sz w:val="20"/>
          <w:szCs w:val="20"/>
        </w:rPr>
        <w:t xml:space="preserve">dopravci změnu výše </w:t>
      </w:r>
      <w:r w:rsidR="00984D05">
        <w:rPr>
          <w:rFonts w:ascii="Arial" w:hAnsi="Arial" w:cs="Arial"/>
          <w:sz w:val="20"/>
          <w:szCs w:val="20"/>
        </w:rPr>
        <w:t>jednotkové</w:t>
      </w:r>
      <w:r>
        <w:rPr>
          <w:rFonts w:ascii="Arial" w:hAnsi="Arial" w:cs="Arial"/>
          <w:sz w:val="20"/>
          <w:szCs w:val="20"/>
        </w:rPr>
        <w:t xml:space="preserve"> </w:t>
      </w:r>
      <w:r w:rsidRPr="00BC3B0C">
        <w:rPr>
          <w:rFonts w:ascii="Arial" w:hAnsi="Arial" w:cs="Arial"/>
          <w:sz w:val="20"/>
          <w:szCs w:val="20"/>
        </w:rPr>
        <w:t>cen</w:t>
      </w:r>
      <w:r w:rsidR="000D693D">
        <w:rPr>
          <w:rFonts w:ascii="Arial" w:hAnsi="Arial" w:cs="Arial"/>
          <w:sz w:val="20"/>
          <w:szCs w:val="20"/>
        </w:rPr>
        <w:t>y</w:t>
      </w:r>
      <w:r w:rsidRPr="00BC3B0C">
        <w:rPr>
          <w:rFonts w:ascii="Arial" w:hAnsi="Arial" w:cs="Arial"/>
          <w:sz w:val="20"/>
          <w:szCs w:val="20"/>
        </w:rPr>
        <w:t xml:space="preserve"> nejpozději do </w:t>
      </w:r>
      <w:r w:rsidRPr="00B778A3">
        <w:rPr>
          <w:rFonts w:ascii="Arial" w:hAnsi="Arial" w:cs="Arial"/>
          <w:sz w:val="20"/>
          <w:szCs w:val="20"/>
        </w:rPr>
        <w:t>16. 12.</w:t>
      </w:r>
      <w:r w:rsidRPr="00BC3B0C">
        <w:rPr>
          <w:rFonts w:ascii="Arial" w:hAnsi="Arial" w:cs="Arial"/>
          <w:sz w:val="20"/>
          <w:szCs w:val="20"/>
        </w:rPr>
        <w:t xml:space="preserve"> </w:t>
      </w:r>
      <w:r>
        <w:rPr>
          <w:rFonts w:ascii="Arial" w:hAnsi="Arial" w:cs="Arial"/>
          <w:sz w:val="20"/>
          <w:szCs w:val="20"/>
        </w:rPr>
        <w:t xml:space="preserve">příslušného </w:t>
      </w:r>
      <w:r w:rsidRPr="00BC3B0C">
        <w:rPr>
          <w:rFonts w:ascii="Arial" w:hAnsi="Arial" w:cs="Arial"/>
          <w:sz w:val="20"/>
          <w:szCs w:val="20"/>
        </w:rPr>
        <w:t xml:space="preserve">roku </w:t>
      </w:r>
      <w:r>
        <w:rPr>
          <w:rFonts w:ascii="Arial" w:hAnsi="Arial" w:cs="Arial"/>
          <w:sz w:val="20"/>
          <w:szCs w:val="20"/>
        </w:rPr>
        <w:t>účinnosti této smlouvy o dodávkách</w:t>
      </w:r>
      <w:r w:rsidR="008E65D6">
        <w:rPr>
          <w:rFonts w:ascii="Arial" w:hAnsi="Arial" w:cs="Arial"/>
          <w:sz w:val="20"/>
          <w:szCs w:val="20"/>
        </w:rPr>
        <w:t>,</w:t>
      </w:r>
      <w:r>
        <w:rPr>
          <w:rFonts w:ascii="Arial" w:hAnsi="Arial" w:cs="Arial"/>
          <w:sz w:val="20"/>
          <w:szCs w:val="20"/>
        </w:rPr>
        <w:t xml:space="preserve"> </w:t>
      </w:r>
      <w:r w:rsidR="008E65D6">
        <w:rPr>
          <w:rFonts w:ascii="Arial" w:hAnsi="Arial" w:cs="Arial"/>
          <w:sz w:val="20"/>
          <w:szCs w:val="20"/>
        </w:rPr>
        <w:t xml:space="preserve">a to </w:t>
      </w:r>
      <w:r>
        <w:rPr>
          <w:rFonts w:ascii="Arial" w:hAnsi="Arial" w:cs="Arial"/>
          <w:sz w:val="20"/>
          <w:szCs w:val="20"/>
        </w:rPr>
        <w:t xml:space="preserve">s platností </w:t>
      </w:r>
      <w:r w:rsidR="008E65D6">
        <w:rPr>
          <w:rFonts w:ascii="Arial" w:hAnsi="Arial" w:cs="Arial"/>
          <w:sz w:val="20"/>
          <w:szCs w:val="20"/>
        </w:rPr>
        <w:t xml:space="preserve">této změny </w:t>
      </w:r>
      <w:r>
        <w:rPr>
          <w:rFonts w:ascii="Arial" w:hAnsi="Arial" w:cs="Arial"/>
          <w:sz w:val="20"/>
          <w:szCs w:val="20"/>
        </w:rPr>
        <w:t xml:space="preserve">pro následující rok účinnosti této smlouvy </w:t>
      </w:r>
      <w:r w:rsidR="00995AAA">
        <w:rPr>
          <w:rFonts w:ascii="Arial" w:hAnsi="Arial" w:cs="Arial"/>
          <w:sz w:val="20"/>
          <w:szCs w:val="20"/>
        </w:rPr>
        <w:t xml:space="preserve">s tím, že výše přiměřeného zisku provozovatele bude činit vždy 5 % z takto oznámené </w:t>
      </w:r>
      <w:r w:rsidR="00930907">
        <w:rPr>
          <w:rFonts w:ascii="Arial" w:hAnsi="Arial" w:cs="Arial"/>
          <w:sz w:val="20"/>
          <w:szCs w:val="20"/>
        </w:rPr>
        <w:t xml:space="preserve">výše </w:t>
      </w:r>
      <w:r w:rsidR="00995AAA">
        <w:rPr>
          <w:rFonts w:ascii="Arial" w:hAnsi="Arial" w:cs="Arial"/>
          <w:sz w:val="20"/>
          <w:szCs w:val="20"/>
        </w:rPr>
        <w:t>jednotkové ceny</w:t>
      </w:r>
      <w:r w:rsidRPr="00BC3B0C">
        <w:rPr>
          <w:rFonts w:ascii="Arial" w:hAnsi="Arial" w:cs="Arial"/>
          <w:sz w:val="20"/>
          <w:szCs w:val="20"/>
        </w:rPr>
        <w:t xml:space="preserve">. </w:t>
      </w:r>
      <w:r w:rsidR="008E65D6">
        <w:rPr>
          <w:rFonts w:ascii="Arial" w:hAnsi="Arial" w:cs="Arial"/>
          <w:sz w:val="20"/>
          <w:szCs w:val="20"/>
        </w:rPr>
        <w:t xml:space="preserve">Oznámení provozovatele dle předchozí věty bude obsahovat doklady prokazující změnu </w:t>
      </w:r>
      <w:r w:rsidR="00D22691">
        <w:rPr>
          <w:rFonts w:ascii="Arial" w:hAnsi="Arial" w:cs="Arial"/>
          <w:sz w:val="20"/>
          <w:szCs w:val="20"/>
        </w:rPr>
        <w:t xml:space="preserve">rozsahu </w:t>
      </w:r>
      <w:r w:rsidR="008E65D6">
        <w:rPr>
          <w:rFonts w:ascii="Arial" w:hAnsi="Arial" w:cs="Arial"/>
          <w:sz w:val="20"/>
          <w:szCs w:val="20"/>
        </w:rPr>
        <w:t>nákladů provozovatele</w:t>
      </w:r>
      <w:r w:rsidR="00D22691">
        <w:rPr>
          <w:rFonts w:ascii="Arial" w:hAnsi="Arial" w:cs="Arial"/>
          <w:sz w:val="20"/>
          <w:szCs w:val="20"/>
        </w:rPr>
        <w:t xml:space="preserve"> </w:t>
      </w:r>
      <w:r w:rsidR="00673B16">
        <w:rPr>
          <w:rFonts w:ascii="Arial" w:hAnsi="Arial" w:cs="Arial"/>
          <w:sz w:val="20"/>
          <w:szCs w:val="20"/>
        </w:rPr>
        <w:t>a</w:t>
      </w:r>
      <w:r w:rsidR="00D22691">
        <w:rPr>
          <w:rFonts w:ascii="Arial" w:hAnsi="Arial" w:cs="Arial"/>
          <w:sz w:val="20"/>
          <w:szCs w:val="20"/>
        </w:rPr>
        <w:t xml:space="preserve">nebo </w:t>
      </w:r>
      <w:r w:rsidR="00673B16">
        <w:rPr>
          <w:rFonts w:ascii="Arial" w:hAnsi="Arial" w:cs="Arial"/>
          <w:sz w:val="20"/>
          <w:szCs w:val="20"/>
        </w:rPr>
        <w:t xml:space="preserve">změnu </w:t>
      </w:r>
      <w:r w:rsidR="00D22691">
        <w:rPr>
          <w:rFonts w:ascii="Arial" w:hAnsi="Arial" w:cs="Arial"/>
          <w:sz w:val="20"/>
          <w:szCs w:val="20"/>
        </w:rPr>
        <w:t>jejich výše</w:t>
      </w:r>
      <w:r w:rsidR="00995AAA">
        <w:rPr>
          <w:rFonts w:ascii="Arial" w:hAnsi="Arial" w:cs="Arial"/>
          <w:sz w:val="20"/>
          <w:szCs w:val="20"/>
        </w:rPr>
        <w:t>, a aktualizovanou strukturu položek jednotkové ceny a jejich výši</w:t>
      </w:r>
      <w:r w:rsidR="008E65D6">
        <w:rPr>
          <w:rFonts w:ascii="Arial" w:hAnsi="Arial" w:cs="Arial"/>
          <w:sz w:val="20"/>
          <w:szCs w:val="20"/>
        </w:rPr>
        <w:t>.</w:t>
      </w:r>
      <w:r w:rsidR="00673B16">
        <w:rPr>
          <w:rFonts w:ascii="Arial" w:hAnsi="Arial" w:cs="Arial"/>
          <w:sz w:val="20"/>
          <w:szCs w:val="20"/>
        </w:rPr>
        <w:t xml:space="preserve"> </w:t>
      </w:r>
      <w:r w:rsidR="00673B16" w:rsidRPr="00BC3B0C">
        <w:rPr>
          <w:rFonts w:ascii="Arial" w:hAnsi="Arial" w:cs="Arial"/>
          <w:sz w:val="20"/>
          <w:szCs w:val="20"/>
        </w:rPr>
        <w:t xml:space="preserve">Smluvní strany se dohodly, že oznámení provozovatele podle </w:t>
      </w:r>
      <w:r w:rsidR="00673B16">
        <w:rPr>
          <w:rFonts w:ascii="Arial" w:hAnsi="Arial" w:cs="Arial"/>
          <w:sz w:val="20"/>
          <w:szCs w:val="20"/>
        </w:rPr>
        <w:t xml:space="preserve">tohoto bodu nepovažují </w:t>
      </w:r>
      <w:r w:rsidR="00673B16" w:rsidRPr="00BC3B0C">
        <w:rPr>
          <w:rFonts w:ascii="Arial" w:hAnsi="Arial" w:cs="Arial"/>
          <w:sz w:val="20"/>
          <w:szCs w:val="20"/>
        </w:rPr>
        <w:t>za změnu této smlouvy o dodávkách vyžadující uzavření písemné dohody o její změně.</w:t>
      </w:r>
    </w:p>
    <w:p w14:paraId="42375FB9" w14:textId="031D9D7D" w:rsidR="00673B16" w:rsidRPr="00646DC7" w:rsidRDefault="00673B16" w:rsidP="00673B16">
      <w:pPr>
        <w:spacing w:after="120"/>
        <w:ind w:left="397" w:hanging="397"/>
        <w:jc w:val="both"/>
        <w:rPr>
          <w:rFonts w:ascii="Arial" w:hAnsi="Arial" w:cs="Arial"/>
          <w:sz w:val="20"/>
          <w:szCs w:val="20"/>
        </w:rPr>
      </w:pPr>
      <w:r>
        <w:rPr>
          <w:rFonts w:ascii="Arial" w:hAnsi="Arial" w:cs="Arial"/>
          <w:sz w:val="20"/>
          <w:szCs w:val="20"/>
        </w:rPr>
        <w:t>5.</w:t>
      </w:r>
      <w:r w:rsidRPr="00BC3B0C">
        <w:rPr>
          <w:rFonts w:ascii="Arial" w:hAnsi="Arial" w:cs="Arial"/>
          <w:sz w:val="20"/>
          <w:szCs w:val="20"/>
        </w:rPr>
        <w:tab/>
      </w:r>
      <w:r>
        <w:rPr>
          <w:rFonts w:ascii="Arial" w:hAnsi="Arial" w:cs="Arial"/>
          <w:sz w:val="20"/>
          <w:szCs w:val="20"/>
        </w:rPr>
        <w:t>Pokud p</w:t>
      </w:r>
      <w:r w:rsidRPr="00BC3B0C">
        <w:rPr>
          <w:rFonts w:ascii="Arial" w:hAnsi="Arial" w:cs="Arial"/>
          <w:sz w:val="20"/>
          <w:szCs w:val="20"/>
        </w:rPr>
        <w:t xml:space="preserve">rovozovatel </w:t>
      </w:r>
      <w:r>
        <w:rPr>
          <w:rFonts w:ascii="Arial" w:hAnsi="Arial" w:cs="Arial"/>
          <w:sz w:val="20"/>
          <w:szCs w:val="20"/>
        </w:rPr>
        <w:t>ne</w:t>
      </w:r>
      <w:r w:rsidRPr="00BC3B0C">
        <w:rPr>
          <w:rFonts w:ascii="Arial" w:hAnsi="Arial" w:cs="Arial"/>
          <w:sz w:val="20"/>
          <w:szCs w:val="20"/>
        </w:rPr>
        <w:t xml:space="preserve">oznámí </w:t>
      </w:r>
      <w:r>
        <w:rPr>
          <w:rFonts w:ascii="Arial" w:hAnsi="Arial" w:cs="Arial"/>
          <w:sz w:val="20"/>
          <w:szCs w:val="20"/>
        </w:rPr>
        <w:t xml:space="preserve">dopravci změnu výše jednotkové </w:t>
      </w:r>
      <w:r w:rsidRPr="00BC3B0C">
        <w:rPr>
          <w:rFonts w:ascii="Arial" w:hAnsi="Arial" w:cs="Arial"/>
          <w:sz w:val="20"/>
          <w:szCs w:val="20"/>
        </w:rPr>
        <w:t xml:space="preserve">cenu </w:t>
      </w:r>
      <w:r w:rsidR="006961A4">
        <w:rPr>
          <w:rFonts w:ascii="Arial" w:hAnsi="Arial" w:cs="Arial"/>
          <w:sz w:val="20"/>
          <w:szCs w:val="20"/>
        </w:rPr>
        <w:t>ve smyslu předchozího bodu</w:t>
      </w:r>
      <w:r>
        <w:rPr>
          <w:rFonts w:ascii="Arial" w:hAnsi="Arial" w:cs="Arial"/>
          <w:sz w:val="20"/>
          <w:szCs w:val="20"/>
        </w:rPr>
        <w:t xml:space="preserve">, dohodly se smluvní strany na tom, že jednotková cena se pro rok následující </w:t>
      </w:r>
      <w:r w:rsidR="009B6DB7">
        <w:rPr>
          <w:rFonts w:ascii="Arial" w:hAnsi="Arial" w:cs="Arial"/>
          <w:sz w:val="20"/>
          <w:szCs w:val="20"/>
        </w:rPr>
        <w:t xml:space="preserve">po </w:t>
      </w:r>
      <w:r w:rsidR="009B6DB7" w:rsidRPr="00B778A3">
        <w:rPr>
          <w:rFonts w:ascii="Arial" w:hAnsi="Arial" w:cs="Arial"/>
          <w:sz w:val="20"/>
          <w:szCs w:val="20"/>
        </w:rPr>
        <w:t>16. 12.</w:t>
      </w:r>
      <w:r w:rsidR="009B6DB7" w:rsidRPr="00BC3B0C">
        <w:rPr>
          <w:rFonts w:ascii="Arial" w:hAnsi="Arial" w:cs="Arial"/>
          <w:sz w:val="20"/>
          <w:szCs w:val="20"/>
        </w:rPr>
        <w:t xml:space="preserve"> </w:t>
      </w:r>
      <w:r w:rsidR="009B6DB7">
        <w:rPr>
          <w:rFonts w:ascii="Arial" w:hAnsi="Arial" w:cs="Arial"/>
          <w:sz w:val="20"/>
          <w:szCs w:val="20"/>
        </w:rPr>
        <w:t xml:space="preserve">příslušného </w:t>
      </w:r>
      <w:r w:rsidR="009B6DB7" w:rsidRPr="00BC3B0C">
        <w:rPr>
          <w:rFonts w:ascii="Arial" w:hAnsi="Arial" w:cs="Arial"/>
          <w:sz w:val="20"/>
          <w:szCs w:val="20"/>
        </w:rPr>
        <w:t xml:space="preserve">roku </w:t>
      </w:r>
      <w:r>
        <w:rPr>
          <w:rFonts w:ascii="Arial" w:hAnsi="Arial" w:cs="Arial"/>
          <w:sz w:val="20"/>
          <w:szCs w:val="20"/>
        </w:rPr>
        <w:t>účinnosti této smlouvy o</w:t>
      </w:r>
      <w:r w:rsidR="009B6DB7">
        <w:rPr>
          <w:rFonts w:ascii="Arial" w:hAnsi="Arial" w:cs="Arial"/>
          <w:sz w:val="20"/>
          <w:szCs w:val="20"/>
        </w:rPr>
        <w:t xml:space="preserve"> </w:t>
      </w:r>
      <w:r>
        <w:rPr>
          <w:rFonts w:ascii="Arial" w:hAnsi="Arial" w:cs="Arial"/>
          <w:sz w:val="20"/>
          <w:szCs w:val="20"/>
        </w:rPr>
        <w:t>dodávkách měnit nebude</w:t>
      </w:r>
      <w:r w:rsidR="009B6DB7">
        <w:rPr>
          <w:rFonts w:ascii="Arial" w:hAnsi="Arial" w:cs="Arial"/>
          <w:sz w:val="20"/>
          <w:szCs w:val="20"/>
        </w:rPr>
        <w:t>, a bude odpovídat jednotkové ceně takového příslušného roku</w:t>
      </w:r>
      <w:r>
        <w:rPr>
          <w:rFonts w:ascii="Arial" w:hAnsi="Arial" w:cs="Arial"/>
          <w:sz w:val="20"/>
          <w:szCs w:val="20"/>
        </w:rPr>
        <w:t xml:space="preserve">. </w:t>
      </w:r>
    </w:p>
    <w:p w14:paraId="2D0CC290" w14:textId="7C6BBA4B" w:rsidR="00743EA5" w:rsidRDefault="00673B16" w:rsidP="00743EA5">
      <w:pPr>
        <w:spacing w:after="120"/>
        <w:ind w:left="397" w:hanging="397"/>
        <w:jc w:val="both"/>
        <w:rPr>
          <w:rFonts w:ascii="Arial" w:hAnsi="Arial" w:cs="Arial"/>
          <w:sz w:val="20"/>
          <w:szCs w:val="20"/>
        </w:rPr>
      </w:pPr>
      <w:r>
        <w:rPr>
          <w:rFonts w:ascii="Arial" w:hAnsi="Arial" w:cs="Arial"/>
          <w:sz w:val="20"/>
          <w:szCs w:val="20"/>
        </w:rPr>
        <w:t>6</w:t>
      </w:r>
      <w:r w:rsidR="00743EA5">
        <w:rPr>
          <w:rFonts w:ascii="Arial" w:hAnsi="Arial" w:cs="Arial"/>
          <w:sz w:val="20"/>
          <w:szCs w:val="20"/>
        </w:rPr>
        <w:t>.</w:t>
      </w:r>
      <w:r w:rsidR="00743EA5">
        <w:rPr>
          <w:rFonts w:ascii="Arial" w:hAnsi="Arial" w:cs="Arial"/>
          <w:sz w:val="20"/>
          <w:szCs w:val="20"/>
        </w:rPr>
        <w:tab/>
      </w:r>
      <w:r w:rsidR="00743EA5" w:rsidRPr="00BC3B0C">
        <w:rPr>
          <w:rFonts w:ascii="Arial" w:hAnsi="Arial" w:cs="Arial"/>
          <w:sz w:val="20"/>
          <w:szCs w:val="20"/>
        </w:rPr>
        <w:t xml:space="preserve">Dopravce </w:t>
      </w:r>
      <w:r w:rsidR="00743EA5">
        <w:rPr>
          <w:rFonts w:ascii="Arial" w:hAnsi="Arial" w:cs="Arial"/>
          <w:sz w:val="20"/>
          <w:szCs w:val="20"/>
        </w:rPr>
        <w:t xml:space="preserve">se </w:t>
      </w:r>
      <w:r w:rsidR="00743EA5" w:rsidRPr="00BC3B0C">
        <w:rPr>
          <w:rFonts w:ascii="Arial" w:hAnsi="Arial" w:cs="Arial"/>
          <w:sz w:val="20"/>
          <w:szCs w:val="20"/>
        </w:rPr>
        <w:t xml:space="preserve">podpisem této smlouvy o dodávkách </w:t>
      </w:r>
      <w:r w:rsidR="00743EA5">
        <w:rPr>
          <w:rFonts w:ascii="Arial" w:hAnsi="Arial" w:cs="Arial"/>
          <w:sz w:val="20"/>
          <w:szCs w:val="20"/>
        </w:rPr>
        <w:t>zavazuje hradit provozovateli</w:t>
      </w:r>
      <w:r>
        <w:rPr>
          <w:rFonts w:ascii="Arial" w:hAnsi="Arial" w:cs="Arial"/>
          <w:sz w:val="20"/>
          <w:szCs w:val="20"/>
        </w:rPr>
        <w:t xml:space="preserve"> v</w:t>
      </w:r>
      <w:r w:rsidR="002E5DA6">
        <w:rPr>
          <w:rFonts w:ascii="Arial" w:hAnsi="Arial" w:cs="Arial"/>
          <w:sz w:val="20"/>
          <w:szCs w:val="20"/>
        </w:rPr>
        <w:t xml:space="preserve"> každém roce účinnosti této smlouvy o dodávkách, který následuje po roce </w:t>
      </w:r>
      <w:r w:rsidR="004C25AD">
        <w:rPr>
          <w:rFonts w:ascii="Arial" w:hAnsi="Arial" w:cs="Arial"/>
          <w:sz w:val="20"/>
          <w:szCs w:val="20"/>
        </w:rPr>
        <w:t>[</w:t>
      </w:r>
      <w:r w:rsidR="004C25AD" w:rsidRPr="00C038BE">
        <w:rPr>
          <w:rFonts w:ascii="Arial" w:hAnsi="Arial" w:cs="Arial"/>
          <w:sz w:val="20"/>
          <w:szCs w:val="20"/>
          <w:highlight w:val="yellow"/>
        </w:rPr>
        <w:t>bude doplněn rok účinnost</w:t>
      </w:r>
      <w:r w:rsidR="004C25AD">
        <w:rPr>
          <w:rFonts w:ascii="Arial" w:hAnsi="Arial" w:cs="Arial"/>
          <w:sz w:val="20"/>
          <w:szCs w:val="20"/>
          <w:highlight w:val="yellow"/>
        </w:rPr>
        <w:t>i</w:t>
      </w:r>
      <w:r w:rsidR="004C25AD" w:rsidRPr="00C038BE">
        <w:rPr>
          <w:rFonts w:ascii="Arial" w:hAnsi="Arial" w:cs="Arial"/>
          <w:sz w:val="20"/>
          <w:szCs w:val="20"/>
          <w:highlight w:val="yellow"/>
        </w:rPr>
        <w:t xml:space="preserve"> této smlouvy o</w:t>
      </w:r>
      <w:r w:rsidR="004C25AD">
        <w:rPr>
          <w:rFonts w:ascii="Arial" w:hAnsi="Arial" w:cs="Arial"/>
          <w:sz w:val="20"/>
          <w:szCs w:val="20"/>
          <w:highlight w:val="yellow"/>
        </w:rPr>
        <w:t> </w:t>
      </w:r>
      <w:r w:rsidR="004C25AD" w:rsidRPr="00C038BE">
        <w:rPr>
          <w:rFonts w:ascii="Arial" w:hAnsi="Arial" w:cs="Arial"/>
          <w:sz w:val="20"/>
          <w:szCs w:val="20"/>
          <w:highlight w:val="yellow"/>
        </w:rPr>
        <w:t>dodávkách</w:t>
      </w:r>
      <w:r w:rsidR="004C25AD">
        <w:rPr>
          <w:rFonts w:ascii="Arial" w:hAnsi="Arial" w:cs="Arial"/>
          <w:sz w:val="20"/>
          <w:szCs w:val="20"/>
        </w:rPr>
        <w:t>]</w:t>
      </w:r>
      <w:r w:rsidR="002E5DA6">
        <w:rPr>
          <w:rFonts w:ascii="Arial" w:hAnsi="Arial" w:cs="Arial"/>
          <w:sz w:val="20"/>
          <w:szCs w:val="20"/>
        </w:rPr>
        <w:t>,</w:t>
      </w:r>
      <w:r>
        <w:rPr>
          <w:rFonts w:ascii="Arial" w:hAnsi="Arial" w:cs="Arial"/>
          <w:sz w:val="20"/>
          <w:szCs w:val="20"/>
        </w:rPr>
        <w:t> </w:t>
      </w:r>
      <w:r w:rsidR="00743EA5">
        <w:rPr>
          <w:rFonts w:ascii="Arial" w:hAnsi="Arial" w:cs="Arial"/>
          <w:sz w:val="20"/>
          <w:szCs w:val="20"/>
        </w:rPr>
        <w:t xml:space="preserve">cenu za </w:t>
      </w:r>
      <w:r w:rsidR="008E65D6">
        <w:rPr>
          <w:rFonts w:ascii="Arial" w:hAnsi="Arial" w:cs="Arial"/>
          <w:sz w:val="20"/>
          <w:szCs w:val="20"/>
        </w:rPr>
        <w:t>zajišťování dodávání komodity</w:t>
      </w:r>
      <w:r w:rsidR="00743EA5">
        <w:rPr>
          <w:rFonts w:ascii="Arial" w:hAnsi="Arial" w:cs="Arial"/>
          <w:sz w:val="20"/>
          <w:szCs w:val="20"/>
        </w:rPr>
        <w:t xml:space="preserve"> vypočítanou </w:t>
      </w:r>
      <w:r w:rsidR="00743EA5" w:rsidRPr="00BC3B0C">
        <w:rPr>
          <w:rFonts w:ascii="Arial" w:hAnsi="Arial" w:cs="Arial"/>
          <w:sz w:val="20"/>
          <w:szCs w:val="20"/>
        </w:rPr>
        <w:t xml:space="preserve">součinem </w:t>
      </w:r>
      <w:r w:rsidR="008E65D6">
        <w:rPr>
          <w:rFonts w:ascii="Arial" w:hAnsi="Arial" w:cs="Arial"/>
          <w:sz w:val="20"/>
          <w:szCs w:val="20"/>
        </w:rPr>
        <w:t xml:space="preserve">jednotkové ceny </w:t>
      </w:r>
      <w:r w:rsidR="00743EA5">
        <w:rPr>
          <w:rFonts w:ascii="Arial" w:hAnsi="Arial" w:cs="Arial"/>
          <w:sz w:val="20"/>
          <w:szCs w:val="20"/>
        </w:rPr>
        <w:t>oznám</w:t>
      </w:r>
      <w:r w:rsidR="008E65D6">
        <w:rPr>
          <w:rFonts w:ascii="Arial" w:hAnsi="Arial" w:cs="Arial"/>
          <w:sz w:val="20"/>
          <w:szCs w:val="20"/>
        </w:rPr>
        <w:t>ené</w:t>
      </w:r>
      <w:r w:rsidR="00743EA5">
        <w:rPr>
          <w:rFonts w:ascii="Arial" w:hAnsi="Arial" w:cs="Arial"/>
          <w:sz w:val="20"/>
          <w:szCs w:val="20"/>
        </w:rPr>
        <w:t xml:space="preserve"> provozovatelem</w:t>
      </w:r>
      <w:r w:rsidR="007E34F6">
        <w:rPr>
          <w:rFonts w:ascii="Arial" w:hAnsi="Arial" w:cs="Arial"/>
          <w:sz w:val="20"/>
          <w:szCs w:val="20"/>
        </w:rPr>
        <w:t xml:space="preserve"> dopravci</w:t>
      </w:r>
      <w:r w:rsidR="00743EA5">
        <w:rPr>
          <w:rFonts w:ascii="Arial" w:hAnsi="Arial" w:cs="Arial"/>
          <w:sz w:val="20"/>
          <w:szCs w:val="20"/>
        </w:rPr>
        <w:t xml:space="preserve"> dle bodu </w:t>
      </w:r>
      <w:r>
        <w:rPr>
          <w:rFonts w:ascii="Arial" w:hAnsi="Arial" w:cs="Arial"/>
          <w:sz w:val="20"/>
          <w:szCs w:val="20"/>
        </w:rPr>
        <w:t xml:space="preserve">4 nebo </w:t>
      </w:r>
      <w:r w:rsidR="009B6DB7">
        <w:rPr>
          <w:rFonts w:ascii="Arial" w:hAnsi="Arial" w:cs="Arial"/>
          <w:sz w:val="20"/>
          <w:szCs w:val="20"/>
        </w:rPr>
        <w:t>dohodnuté</w:t>
      </w:r>
      <w:r>
        <w:rPr>
          <w:rFonts w:ascii="Arial" w:hAnsi="Arial" w:cs="Arial"/>
          <w:sz w:val="20"/>
          <w:szCs w:val="20"/>
        </w:rPr>
        <w:t xml:space="preserve"> dle bodu 5 této smlouvy o dodávkách </w:t>
      </w:r>
      <w:r w:rsidR="00743EA5" w:rsidRPr="00BC3B0C">
        <w:rPr>
          <w:rFonts w:ascii="Arial" w:hAnsi="Arial" w:cs="Arial"/>
          <w:sz w:val="20"/>
          <w:szCs w:val="20"/>
        </w:rPr>
        <w:t>a spotřeb</w:t>
      </w:r>
      <w:r w:rsidR="00743EA5">
        <w:rPr>
          <w:rFonts w:ascii="Arial" w:hAnsi="Arial" w:cs="Arial"/>
          <w:sz w:val="20"/>
          <w:szCs w:val="20"/>
        </w:rPr>
        <w:t>y</w:t>
      </w:r>
      <w:r w:rsidR="00743EA5" w:rsidRPr="00BC3B0C">
        <w:rPr>
          <w:rFonts w:ascii="Arial" w:hAnsi="Arial" w:cs="Arial"/>
          <w:sz w:val="20"/>
          <w:szCs w:val="20"/>
        </w:rPr>
        <w:t xml:space="preserve"> trakční elektrické energie dopravcem </w:t>
      </w:r>
      <w:r w:rsidR="00743EA5">
        <w:rPr>
          <w:rFonts w:ascii="Arial" w:hAnsi="Arial" w:cs="Arial"/>
          <w:sz w:val="20"/>
          <w:szCs w:val="20"/>
        </w:rPr>
        <w:t xml:space="preserve">stanovené za příslušné fakturační období </w:t>
      </w:r>
      <w:r w:rsidR="00743EA5" w:rsidRPr="00BC3B0C">
        <w:rPr>
          <w:rFonts w:ascii="Arial" w:hAnsi="Arial" w:cs="Arial"/>
          <w:sz w:val="20"/>
          <w:szCs w:val="20"/>
        </w:rPr>
        <w:t xml:space="preserve">dle článku 3 </w:t>
      </w:r>
      <w:proofErr w:type="gramStart"/>
      <w:r w:rsidR="00743EA5" w:rsidRPr="00BC3B0C">
        <w:rPr>
          <w:rFonts w:ascii="Arial" w:hAnsi="Arial" w:cs="Arial"/>
          <w:sz w:val="20"/>
          <w:szCs w:val="20"/>
        </w:rPr>
        <w:t>této</w:t>
      </w:r>
      <w:proofErr w:type="gramEnd"/>
      <w:r w:rsidR="00743EA5" w:rsidRPr="00BC3B0C">
        <w:rPr>
          <w:rFonts w:ascii="Arial" w:hAnsi="Arial" w:cs="Arial"/>
          <w:sz w:val="20"/>
          <w:szCs w:val="20"/>
        </w:rPr>
        <w:t xml:space="preserve"> smlouvy o dodávkách</w:t>
      </w:r>
      <w:r w:rsidR="008E65D6">
        <w:rPr>
          <w:rFonts w:ascii="Arial" w:hAnsi="Arial" w:cs="Arial"/>
          <w:sz w:val="20"/>
          <w:szCs w:val="20"/>
        </w:rPr>
        <w:t>.</w:t>
      </w:r>
    </w:p>
    <w:p w14:paraId="7FB22738" w14:textId="04CD5BB4" w:rsidR="000D693D" w:rsidRDefault="000D693D" w:rsidP="00743EA5">
      <w:pPr>
        <w:spacing w:after="120"/>
        <w:ind w:left="397" w:hanging="397"/>
        <w:jc w:val="both"/>
        <w:rPr>
          <w:rFonts w:ascii="Arial" w:hAnsi="Arial" w:cs="Arial"/>
          <w:sz w:val="20"/>
          <w:szCs w:val="20"/>
        </w:rPr>
      </w:pPr>
      <w:r w:rsidRPr="004B3CDA">
        <w:rPr>
          <w:rFonts w:ascii="Arial" w:hAnsi="Arial" w:cs="Arial"/>
          <w:sz w:val="20"/>
          <w:szCs w:val="20"/>
        </w:rPr>
        <w:t>7.</w:t>
      </w:r>
      <w:r w:rsidRPr="004B3CDA">
        <w:rPr>
          <w:rFonts w:ascii="Arial" w:hAnsi="Arial" w:cs="Arial"/>
          <w:sz w:val="20"/>
          <w:szCs w:val="20"/>
        </w:rPr>
        <w:tab/>
        <w:t>Smluvní strany</w:t>
      </w:r>
      <w:r>
        <w:rPr>
          <w:rFonts w:ascii="Arial" w:hAnsi="Arial" w:cs="Arial"/>
          <w:sz w:val="20"/>
          <w:szCs w:val="20"/>
        </w:rPr>
        <w:t xml:space="preserve"> se dohodly, že nejpozději do </w:t>
      </w:r>
      <w:r w:rsidRPr="00B778A3">
        <w:rPr>
          <w:rFonts w:ascii="Arial" w:hAnsi="Arial" w:cs="Arial"/>
          <w:sz w:val="20"/>
          <w:szCs w:val="20"/>
        </w:rPr>
        <w:t>června každého roku účinnosti této smlouvy o dodávkách</w:t>
      </w:r>
      <w:r>
        <w:rPr>
          <w:rFonts w:ascii="Arial" w:hAnsi="Arial" w:cs="Arial"/>
          <w:sz w:val="20"/>
          <w:szCs w:val="20"/>
        </w:rPr>
        <w:t xml:space="preserve"> uzavřou dodatek k této smlouvě o dodávkách, ve kterém pro následující rok účinnosti této smlouvy o dodávkách sjednají maximální výši jednotkové ceny platnou </w:t>
      </w:r>
      <w:r w:rsidRPr="00BC3B0C">
        <w:rPr>
          <w:rFonts w:ascii="Arial" w:hAnsi="Arial" w:cs="Arial"/>
          <w:sz w:val="20"/>
          <w:szCs w:val="20"/>
        </w:rPr>
        <w:t xml:space="preserve">pro </w:t>
      </w:r>
      <w:r>
        <w:rPr>
          <w:rFonts w:ascii="Arial" w:hAnsi="Arial" w:cs="Arial"/>
          <w:sz w:val="20"/>
          <w:szCs w:val="20"/>
        </w:rPr>
        <w:t xml:space="preserve">takový následující </w:t>
      </w:r>
      <w:r w:rsidRPr="00BC3B0C">
        <w:rPr>
          <w:rFonts w:ascii="Arial" w:hAnsi="Arial" w:cs="Arial"/>
          <w:sz w:val="20"/>
          <w:szCs w:val="20"/>
        </w:rPr>
        <w:t>rok</w:t>
      </w:r>
      <w:r w:rsidRPr="008D011D">
        <w:rPr>
          <w:rFonts w:ascii="Arial" w:hAnsi="Arial" w:cs="Arial"/>
          <w:sz w:val="20"/>
          <w:szCs w:val="20"/>
        </w:rPr>
        <w:t xml:space="preserve"> </w:t>
      </w:r>
      <w:r>
        <w:rPr>
          <w:rFonts w:ascii="Arial" w:hAnsi="Arial" w:cs="Arial"/>
          <w:sz w:val="20"/>
          <w:szCs w:val="20"/>
        </w:rPr>
        <w:t>účinnosti této smlouvy o dodávkách. Smluvní strany se zavazují spolupracovat a vynaložit nezbytné úsilí, které po nich lze rozumně požadovat, aby uzavřely dodatek ve smyslu dle předchozí věty</w:t>
      </w:r>
    </w:p>
    <w:p w14:paraId="536EC330" w14:textId="054159B8" w:rsidR="00D313C7" w:rsidRDefault="00D313C7" w:rsidP="00743EA5">
      <w:pPr>
        <w:spacing w:after="120"/>
        <w:ind w:left="397" w:hanging="397"/>
        <w:jc w:val="both"/>
        <w:rPr>
          <w:rFonts w:ascii="Arial" w:hAnsi="Arial" w:cs="Arial"/>
          <w:sz w:val="20"/>
          <w:szCs w:val="20"/>
        </w:rPr>
      </w:pPr>
      <w:r>
        <w:rPr>
          <w:rFonts w:ascii="Arial" w:hAnsi="Arial" w:cs="Arial"/>
          <w:sz w:val="20"/>
          <w:szCs w:val="20"/>
        </w:rPr>
        <w:t>8.</w:t>
      </w:r>
      <w:r>
        <w:rPr>
          <w:rFonts w:ascii="Arial" w:hAnsi="Arial" w:cs="Arial"/>
          <w:sz w:val="20"/>
          <w:szCs w:val="20"/>
        </w:rPr>
        <w:tab/>
        <w:t xml:space="preserve">S vědomím, že struktura a výše </w:t>
      </w:r>
      <w:r w:rsidR="00202953">
        <w:rPr>
          <w:rFonts w:ascii="Arial" w:hAnsi="Arial" w:cs="Arial"/>
          <w:sz w:val="20"/>
          <w:szCs w:val="20"/>
        </w:rPr>
        <w:t>jednotkové ceny</w:t>
      </w:r>
      <w:r>
        <w:rPr>
          <w:rFonts w:ascii="Arial" w:hAnsi="Arial" w:cs="Arial"/>
          <w:sz w:val="20"/>
          <w:szCs w:val="20"/>
        </w:rPr>
        <w:t xml:space="preserve"> sjednané v tomto článku odpovídají právním předpisům, zejména zákonu o dráh</w:t>
      </w:r>
      <w:r w:rsidRPr="003A66F7">
        <w:rPr>
          <w:rFonts w:ascii="Arial" w:hAnsi="Arial" w:cs="Arial"/>
          <w:sz w:val="20"/>
          <w:szCs w:val="20"/>
        </w:rPr>
        <w:t>ách a cenovým předpisům</w:t>
      </w:r>
      <w:r>
        <w:rPr>
          <w:rFonts w:ascii="Arial" w:hAnsi="Arial" w:cs="Arial"/>
          <w:sz w:val="20"/>
          <w:szCs w:val="20"/>
        </w:rPr>
        <w:t>,</w:t>
      </w:r>
      <w:r w:rsidRPr="003A66F7">
        <w:rPr>
          <w:rFonts w:ascii="Arial" w:hAnsi="Arial" w:cs="Arial"/>
          <w:sz w:val="20"/>
          <w:szCs w:val="20"/>
        </w:rPr>
        <w:t xml:space="preserve"> a tudíž tak vylučují jakoukoliv libovůli provozovatele při následných změnách</w:t>
      </w:r>
      <w:r>
        <w:rPr>
          <w:rFonts w:ascii="Arial" w:hAnsi="Arial" w:cs="Arial"/>
          <w:sz w:val="20"/>
          <w:szCs w:val="20"/>
        </w:rPr>
        <w:t xml:space="preserve"> této ceny, dohodly se smluvní strany takto – v případě, že </w:t>
      </w:r>
      <w:r w:rsidRPr="009A045D">
        <w:rPr>
          <w:rFonts w:ascii="Arial" w:hAnsi="Arial" w:cs="Arial"/>
          <w:sz w:val="20"/>
          <w:szCs w:val="20"/>
        </w:rPr>
        <w:t xml:space="preserve">nebude uzavřen dodatek dle </w:t>
      </w:r>
      <w:r>
        <w:rPr>
          <w:rFonts w:ascii="Arial" w:hAnsi="Arial" w:cs="Arial"/>
          <w:sz w:val="20"/>
          <w:szCs w:val="20"/>
        </w:rPr>
        <w:t xml:space="preserve">předchozího </w:t>
      </w:r>
      <w:r w:rsidRPr="009A045D">
        <w:rPr>
          <w:rFonts w:ascii="Arial" w:hAnsi="Arial" w:cs="Arial"/>
          <w:sz w:val="20"/>
          <w:szCs w:val="20"/>
        </w:rPr>
        <w:t>bodu</w:t>
      </w:r>
      <w:r>
        <w:rPr>
          <w:rFonts w:ascii="Arial" w:hAnsi="Arial" w:cs="Arial"/>
          <w:sz w:val="20"/>
          <w:szCs w:val="20"/>
        </w:rPr>
        <w:t xml:space="preserve">, </w:t>
      </w:r>
      <w:r w:rsidRPr="009A045D">
        <w:rPr>
          <w:rFonts w:ascii="Arial" w:hAnsi="Arial" w:cs="Arial"/>
          <w:sz w:val="20"/>
          <w:szCs w:val="20"/>
        </w:rPr>
        <w:t>nebude pro příslušný rok účinnosti této smlouvy o</w:t>
      </w:r>
      <w:r w:rsidR="00202953">
        <w:rPr>
          <w:rFonts w:ascii="Arial" w:hAnsi="Arial" w:cs="Arial"/>
          <w:sz w:val="20"/>
          <w:szCs w:val="20"/>
        </w:rPr>
        <w:t> </w:t>
      </w:r>
      <w:r w:rsidRPr="009A045D">
        <w:rPr>
          <w:rFonts w:ascii="Arial" w:hAnsi="Arial" w:cs="Arial"/>
          <w:sz w:val="20"/>
          <w:szCs w:val="20"/>
        </w:rPr>
        <w:t xml:space="preserve">dodávkách </w:t>
      </w:r>
      <w:r>
        <w:rPr>
          <w:rFonts w:ascii="Arial" w:hAnsi="Arial" w:cs="Arial"/>
          <w:sz w:val="20"/>
          <w:szCs w:val="20"/>
        </w:rPr>
        <w:t>sjednána</w:t>
      </w:r>
      <w:r w:rsidRPr="009A045D">
        <w:rPr>
          <w:rFonts w:ascii="Arial" w:hAnsi="Arial" w:cs="Arial"/>
          <w:sz w:val="20"/>
          <w:szCs w:val="20"/>
        </w:rPr>
        <w:t xml:space="preserve"> </w:t>
      </w:r>
      <w:r>
        <w:rPr>
          <w:rFonts w:ascii="Arial" w:hAnsi="Arial" w:cs="Arial"/>
          <w:sz w:val="20"/>
          <w:szCs w:val="20"/>
        </w:rPr>
        <w:t xml:space="preserve">smluvními stranami </w:t>
      </w:r>
      <w:r w:rsidRPr="009A045D">
        <w:rPr>
          <w:rFonts w:ascii="Arial" w:hAnsi="Arial" w:cs="Arial"/>
          <w:sz w:val="20"/>
          <w:szCs w:val="20"/>
        </w:rPr>
        <w:t xml:space="preserve">maximální výše </w:t>
      </w:r>
      <w:r w:rsidR="00202953">
        <w:rPr>
          <w:rFonts w:ascii="Arial" w:hAnsi="Arial" w:cs="Arial"/>
          <w:sz w:val="20"/>
          <w:szCs w:val="20"/>
        </w:rPr>
        <w:t xml:space="preserve">jednotkové </w:t>
      </w:r>
      <w:r>
        <w:rPr>
          <w:rFonts w:ascii="Arial" w:hAnsi="Arial" w:cs="Arial"/>
          <w:sz w:val="20"/>
          <w:szCs w:val="20"/>
        </w:rPr>
        <w:t>ceny</w:t>
      </w:r>
      <w:r w:rsidRPr="009A045D">
        <w:rPr>
          <w:rFonts w:ascii="Arial" w:hAnsi="Arial" w:cs="Arial"/>
          <w:sz w:val="20"/>
          <w:szCs w:val="20"/>
        </w:rPr>
        <w:t xml:space="preserve">, a </w:t>
      </w:r>
      <w:r w:rsidR="005B5D8B">
        <w:rPr>
          <w:rFonts w:ascii="Arial" w:hAnsi="Arial" w:cs="Arial"/>
          <w:sz w:val="20"/>
          <w:szCs w:val="20"/>
        </w:rPr>
        <w:t xml:space="preserve">proto bude </w:t>
      </w:r>
      <w:r w:rsidR="00202953">
        <w:rPr>
          <w:rFonts w:ascii="Arial" w:hAnsi="Arial" w:cs="Arial"/>
          <w:sz w:val="20"/>
          <w:szCs w:val="20"/>
        </w:rPr>
        <w:t xml:space="preserve">tato cena stanovena až oznámením dopravci </w:t>
      </w:r>
      <w:r>
        <w:rPr>
          <w:rFonts w:ascii="Arial" w:hAnsi="Arial" w:cs="Arial"/>
          <w:sz w:val="20"/>
          <w:szCs w:val="20"/>
        </w:rPr>
        <w:t xml:space="preserve">dle bodu </w:t>
      </w:r>
      <w:r w:rsidR="00202953">
        <w:rPr>
          <w:rFonts w:ascii="Arial" w:hAnsi="Arial" w:cs="Arial"/>
          <w:sz w:val="20"/>
          <w:szCs w:val="20"/>
        </w:rPr>
        <w:t>4</w:t>
      </w:r>
      <w:r>
        <w:rPr>
          <w:rFonts w:ascii="Arial" w:hAnsi="Arial" w:cs="Arial"/>
          <w:sz w:val="20"/>
          <w:szCs w:val="20"/>
        </w:rPr>
        <w:t xml:space="preserve"> </w:t>
      </w:r>
      <w:r w:rsidR="008419F1">
        <w:rPr>
          <w:rFonts w:ascii="Arial" w:hAnsi="Arial" w:cs="Arial"/>
          <w:sz w:val="20"/>
          <w:szCs w:val="20"/>
        </w:rPr>
        <w:t xml:space="preserve">tohoto článku </w:t>
      </w:r>
      <w:r>
        <w:rPr>
          <w:rFonts w:ascii="Arial" w:hAnsi="Arial" w:cs="Arial"/>
          <w:sz w:val="20"/>
          <w:szCs w:val="20"/>
        </w:rPr>
        <w:t>této smlouvy o dodávkách</w:t>
      </w:r>
      <w:r w:rsidR="005B5D8B">
        <w:rPr>
          <w:rFonts w:ascii="Arial" w:hAnsi="Arial" w:cs="Arial"/>
          <w:sz w:val="20"/>
          <w:szCs w:val="20"/>
        </w:rPr>
        <w:t>,</w:t>
      </w:r>
      <w:r w:rsidR="00202953">
        <w:rPr>
          <w:rFonts w:ascii="Arial" w:hAnsi="Arial" w:cs="Arial"/>
          <w:sz w:val="20"/>
          <w:szCs w:val="20"/>
        </w:rPr>
        <w:t xml:space="preserve"> nebo bude odpovídat dohodnuté ceně dle bodu 5 </w:t>
      </w:r>
      <w:r w:rsidR="008419F1">
        <w:rPr>
          <w:rFonts w:ascii="Arial" w:hAnsi="Arial" w:cs="Arial"/>
          <w:sz w:val="20"/>
          <w:szCs w:val="20"/>
        </w:rPr>
        <w:t xml:space="preserve">tohoto článku </w:t>
      </w:r>
      <w:r w:rsidR="00202953">
        <w:rPr>
          <w:rFonts w:ascii="Arial" w:hAnsi="Arial" w:cs="Arial"/>
          <w:sz w:val="20"/>
          <w:szCs w:val="20"/>
        </w:rPr>
        <w:t>této smlouvy o dodávkách</w:t>
      </w:r>
      <w:r>
        <w:rPr>
          <w:rFonts w:ascii="Arial" w:hAnsi="Arial" w:cs="Arial"/>
          <w:sz w:val="20"/>
          <w:szCs w:val="20"/>
        </w:rPr>
        <w:t>.</w:t>
      </w:r>
    </w:p>
    <w:p w14:paraId="6F6B4D13" w14:textId="3F21132A" w:rsidR="0033106B" w:rsidRPr="001F271B" w:rsidRDefault="0033106B" w:rsidP="009543B9">
      <w:pPr>
        <w:keepNext/>
        <w:spacing w:before="480" w:after="240"/>
        <w:jc w:val="center"/>
        <w:rPr>
          <w:rFonts w:ascii="Arial" w:hAnsi="Arial" w:cs="Arial"/>
          <w:b/>
          <w:sz w:val="20"/>
          <w:szCs w:val="20"/>
        </w:rPr>
      </w:pPr>
      <w:r w:rsidRPr="00646DC7">
        <w:rPr>
          <w:rFonts w:ascii="Arial" w:hAnsi="Arial" w:cs="Arial"/>
          <w:b/>
          <w:spacing w:val="60"/>
          <w:sz w:val="20"/>
          <w:szCs w:val="20"/>
        </w:rPr>
        <w:t xml:space="preserve">Článek </w:t>
      </w:r>
      <w:r w:rsidR="00F12A71" w:rsidRPr="00646DC7">
        <w:rPr>
          <w:rFonts w:ascii="Arial" w:hAnsi="Arial" w:cs="Arial"/>
          <w:b/>
          <w:spacing w:val="60"/>
          <w:sz w:val="20"/>
          <w:szCs w:val="20"/>
        </w:rPr>
        <w:t>7</w:t>
      </w:r>
      <w:r w:rsidRPr="00646DC7">
        <w:rPr>
          <w:rFonts w:ascii="Arial" w:hAnsi="Arial" w:cs="Arial"/>
          <w:b/>
          <w:spacing w:val="60"/>
          <w:sz w:val="20"/>
          <w:szCs w:val="20"/>
        </w:rPr>
        <w:br/>
      </w:r>
      <w:r w:rsidR="00C92290" w:rsidRPr="00646DC7">
        <w:rPr>
          <w:rFonts w:ascii="Arial" w:hAnsi="Arial" w:cs="Arial"/>
          <w:b/>
          <w:sz w:val="20"/>
          <w:szCs w:val="20"/>
        </w:rPr>
        <w:t>Platební podmínky</w:t>
      </w:r>
    </w:p>
    <w:p w14:paraId="3F797D7C" w14:textId="0A4EA70C" w:rsidR="00BE4975" w:rsidRDefault="00BE4975" w:rsidP="00414D4A">
      <w:pPr>
        <w:spacing w:after="120"/>
        <w:ind w:left="397" w:hanging="394"/>
        <w:jc w:val="both"/>
        <w:rPr>
          <w:rFonts w:ascii="Arial" w:hAnsi="Arial" w:cs="Arial"/>
          <w:sz w:val="20"/>
          <w:szCs w:val="20"/>
        </w:rPr>
      </w:pPr>
      <w:r>
        <w:rPr>
          <w:rFonts w:ascii="Arial" w:hAnsi="Arial" w:cs="Arial"/>
          <w:sz w:val="20"/>
          <w:szCs w:val="20"/>
        </w:rPr>
        <w:t>1</w:t>
      </w:r>
      <w:r w:rsidR="00414D4A">
        <w:rPr>
          <w:rFonts w:ascii="Arial" w:hAnsi="Arial" w:cs="Arial"/>
          <w:sz w:val="20"/>
          <w:szCs w:val="20"/>
        </w:rPr>
        <w:t>.</w:t>
      </w:r>
      <w:r w:rsidR="00414D4A">
        <w:rPr>
          <w:rFonts w:ascii="Arial" w:hAnsi="Arial" w:cs="Arial"/>
          <w:sz w:val="20"/>
          <w:szCs w:val="20"/>
        </w:rPr>
        <w:tab/>
      </w:r>
      <w:r w:rsidR="00DE2CDD">
        <w:rPr>
          <w:rFonts w:ascii="Arial" w:hAnsi="Arial" w:cs="Arial"/>
          <w:sz w:val="20"/>
          <w:szCs w:val="20"/>
        </w:rPr>
        <w:t xml:space="preserve">Provozovatel předloží dopravci </w:t>
      </w:r>
      <w:r w:rsidR="00414D4A">
        <w:rPr>
          <w:rFonts w:ascii="Arial" w:hAnsi="Arial" w:cs="Arial"/>
          <w:sz w:val="20"/>
          <w:szCs w:val="20"/>
        </w:rPr>
        <w:t xml:space="preserve">nejpozději do </w:t>
      </w:r>
      <w:r w:rsidR="00AD7672">
        <w:rPr>
          <w:rFonts w:ascii="Arial" w:hAnsi="Arial" w:cs="Arial"/>
          <w:sz w:val="20"/>
          <w:szCs w:val="20"/>
        </w:rPr>
        <w:t>25. dne</w:t>
      </w:r>
      <w:r w:rsidR="00A410E4">
        <w:rPr>
          <w:rFonts w:ascii="Arial" w:hAnsi="Arial" w:cs="Arial"/>
          <w:sz w:val="20"/>
          <w:szCs w:val="20"/>
        </w:rPr>
        <w:t xml:space="preserve"> měsíce předcházejícího </w:t>
      </w:r>
      <w:r w:rsidR="005678E1">
        <w:rPr>
          <w:rFonts w:ascii="Arial" w:hAnsi="Arial" w:cs="Arial"/>
          <w:sz w:val="20"/>
          <w:szCs w:val="20"/>
        </w:rPr>
        <w:t xml:space="preserve">(zálohovému) </w:t>
      </w:r>
      <w:r w:rsidR="00A410E4">
        <w:rPr>
          <w:rFonts w:ascii="Arial" w:hAnsi="Arial" w:cs="Arial"/>
          <w:sz w:val="20"/>
          <w:szCs w:val="20"/>
        </w:rPr>
        <w:t xml:space="preserve">měsíci, ve kterém bude provozovatel </w:t>
      </w:r>
      <w:r w:rsidR="004C6B1F">
        <w:rPr>
          <w:rFonts w:ascii="Arial" w:hAnsi="Arial" w:cs="Arial"/>
          <w:sz w:val="20"/>
          <w:szCs w:val="20"/>
        </w:rPr>
        <w:t xml:space="preserve">poskytovat </w:t>
      </w:r>
      <w:r w:rsidR="00A410E4">
        <w:rPr>
          <w:rFonts w:ascii="Arial" w:hAnsi="Arial" w:cs="Arial"/>
          <w:sz w:val="20"/>
          <w:szCs w:val="20"/>
        </w:rPr>
        <w:t>dopravci službu dodávek</w:t>
      </w:r>
      <w:r w:rsidR="004C6B1F">
        <w:rPr>
          <w:rFonts w:ascii="Arial" w:hAnsi="Arial" w:cs="Arial"/>
          <w:sz w:val="20"/>
          <w:szCs w:val="20"/>
        </w:rPr>
        <w:t>,</w:t>
      </w:r>
      <w:r w:rsidR="00DE2CDD">
        <w:rPr>
          <w:rFonts w:ascii="Arial" w:hAnsi="Arial" w:cs="Arial"/>
          <w:sz w:val="20"/>
          <w:szCs w:val="20"/>
        </w:rPr>
        <w:t xml:space="preserve"> platební kalendář </w:t>
      </w:r>
      <w:r w:rsidR="00A410E4">
        <w:rPr>
          <w:rFonts w:ascii="Arial" w:hAnsi="Arial" w:cs="Arial"/>
          <w:sz w:val="20"/>
          <w:szCs w:val="20"/>
        </w:rPr>
        <w:t xml:space="preserve">s rozpisem zálohové platby </w:t>
      </w:r>
      <w:r w:rsidR="004C6B1F">
        <w:rPr>
          <w:rFonts w:ascii="Arial" w:hAnsi="Arial" w:cs="Arial"/>
          <w:sz w:val="20"/>
          <w:szCs w:val="20"/>
        </w:rPr>
        <w:t xml:space="preserve">na tento </w:t>
      </w:r>
      <w:r w:rsidR="005678E1">
        <w:rPr>
          <w:rFonts w:ascii="Arial" w:hAnsi="Arial" w:cs="Arial"/>
          <w:sz w:val="20"/>
          <w:szCs w:val="20"/>
        </w:rPr>
        <w:t xml:space="preserve">(zálohový) </w:t>
      </w:r>
      <w:r w:rsidR="004C6B1F">
        <w:rPr>
          <w:rFonts w:ascii="Arial" w:hAnsi="Arial" w:cs="Arial"/>
          <w:sz w:val="20"/>
          <w:szCs w:val="20"/>
        </w:rPr>
        <w:t>měsíc</w:t>
      </w:r>
      <w:r w:rsidR="00DE2CDD">
        <w:rPr>
          <w:rFonts w:ascii="Arial" w:hAnsi="Arial" w:cs="Arial"/>
          <w:sz w:val="20"/>
          <w:szCs w:val="20"/>
        </w:rPr>
        <w:t xml:space="preserve"> </w:t>
      </w:r>
      <w:r w:rsidR="007D6023">
        <w:rPr>
          <w:rFonts w:ascii="Arial" w:hAnsi="Arial" w:cs="Arial"/>
          <w:sz w:val="20"/>
          <w:szCs w:val="20"/>
        </w:rPr>
        <w:t>jako záloh</w:t>
      </w:r>
      <w:r w:rsidR="00673B16">
        <w:rPr>
          <w:rFonts w:ascii="Arial" w:hAnsi="Arial" w:cs="Arial"/>
          <w:sz w:val="20"/>
          <w:szCs w:val="20"/>
        </w:rPr>
        <w:t>y</w:t>
      </w:r>
      <w:r w:rsidR="007D6023">
        <w:rPr>
          <w:rFonts w:ascii="Arial" w:hAnsi="Arial" w:cs="Arial"/>
          <w:sz w:val="20"/>
          <w:szCs w:val="20"/>
        </w:rPr>
        <w:t xml:space="preserve"> </w:t>
      </w:r>
      <w:r w:rsidR="0052072B">
        <w:rPr>
          <w:rFonts w:ascii="Arial" w:hAnsi="Arial" w:cs="Arial"/>
          <w:sz w:val="20"/>
          <w:szCs w:val="20"/>
        </w:rPr>
        <w:t xml:space="preserve">na </w:t>
      </w:r>
      <w:r w:rsidR="007D6023">
        <w:rPr>
          <w:rFonts w:ascii="Arial" w:hAnsi="Arial" w:cs="Arial"/>
          <w:sz w:val="20"/>
          <w:szCs w:val="20"/>
        </w:rPr>
        <w:t>cenu za komoditu a</w:t>
      </w:r>
      <w:r w:rsidR="00673B16">
        <w:rPr>
          <w:rFonts w:ascii="Arial" w:hAnsi="Arial" w:cs="Arial"/>
          <w:sz w:val="20"/>
          <w:szCs w:val="20"/>
        </w:rPr>
        <w:t xml:space="preserve"> na </w:t>
      </w:r>
      <w:r w:rsidR="007D6023">
        <w:rPr>
          <w:rFonts w:ascii="Arial" w:hAnsi="Arial" w:cs="Arial"/>
          <w:sz w:val="20"/>
          <w:szCs w:val="20"/>
        </w:rPr>
        <w:t>cenu za zajišťování dodávání komodity (dále jen „</w:t>
      </w:r>
      <w:r w:rsidR="007D6023" w:rsidRPr="00646DC7">
        <w:rPr>
          <w:rFonts w:ascii="Arial" w:hAnsi="Arial" w:cs="Arial"/>
          <w:b/>
          <w:sz w:val="20"/>
          <w:szCs w:val="20"/>
        </w:rPr>
        <w:t xml:space="preserve">cena za </w:t>
      </w:r>
      <w:r w:rsidR="0052072B" w:rsidRPr="00646DC7">
        <w:rPr>
          <w:rFonts w:ascii="Arial" w:hAnsi="Arial" w:cs="Arial"/>
          <w:b/>
          <w:sz w:val="20"/>
          <w:szCs w:val="20"/>
        </w:rPr>
        <w:t>službu dodávek</w:t>
      </w:r>
      <w:r w:rsidR="007D6023">
        <w:rPr>
          <w:rFonts w:ascii="Arial" w:hAnsi="Arial" w:cs="Arial"/>
          <w:sz w:val="20"/>
          <w:szCs w:val="20"/>
        </w:rPr>
        <w:t>“)</w:t>
      </w:r>
      <w:r w:rsidR="00DE2CDD">
        <w:rPr>
          <w:rFonts w:ascii="Arial" w:hAnsi="Arial" w:cs="Arial"/>
          <w:sz w:val="20"/>
          <w:szCs w:val="20"/>
        </w:rPr>
        <w:t xml:space="preserve">. </w:t>
      </w:r>
      <w:r w:rsidR="00A410E4">
        <w:rPr>
          <w:rFonts w:ascii="Arial" w:hAnsi="Arial" w:cs="Arial"/>
          <w:sz w:val="20"/>
          <w:szCs w:val="20"/>
        </w:rPr>
        <w:t>Každý platební kalendář předloží provozovatel dopravci tak, že mu jej zašle na emailovou adresu</w:t>
      </w:r>
      <w:r w:rsidR="00B641B0">
        <w:rPr>
          <w:rFonts w:ascii="Arial" w:hAnsi="Arial" w:cs="Arial"/>
          <w:sz w:val="20"/>
          <w:szCs w:val="20"/>
        </w:rPr>
        <w:t xml:space="preserve"> </w:t>
      </w:r>
      <w:r w:rsidR="004C25AD">
        <w:rPr>
          <w:rFonts w:ascii="Arial" w:hAnsi="Arial" w:cs="Arial"/>
          <w:sz w:val="20"/>
          <w:szCs w:val="20"/>
        </w:rPr>
        <w:t>[</w:t>
      </w:r>
      <w:r w:rsidR="004C25AD" w:rsidRPr="004C25AD">
        <w:rPr>
          <w:rFonts w:ascii="Arial" w:hAnsi="Arial" w:cs="Arial"/>
          <w:sz w:val="20"/>
          <w:szCs w:val="20"/>
          <w:highlight w:val="yellow"/>
        </w:rPr>
        <w:t>bude doplněno</w:t>
      </w:r>
      <w:r w:rsidR="004C25AD">
        <w:rPr>
          <w:rFonts w:ascii="Arial" w:hAnsi="Arial" w:cs="Arial"/>
          <w:sz w:val="20"/>
          <w:szCs w:val="20"/>
        </w:rPr>
        <w:t>]</w:t>
      </w:r>
      <w:r w:rsidR="00A410E4" w:rsidRPr="00853195">
        <w:rPr>
          <w:rFonts w:ascii="Arial" w:hAnsi="Arial" w:cs="Arial"/>
          <w:sz w:val="20"/>
          <w:szCs w:val="20"/>
        </w:rPr>
        <w:t>.</w:t>
      </w:r>
      <w:r w:rsidR="00B20F75" w:rsidRPr="00B20F75">
        <w:rPr>
          <w:rFonts w:ascii="Arial" w:hAnsi="Arial" w:cs="Arial"/>
          <w:sz w:val="20"/>
          <w:szCs w:val="20"/>
        </w:rPr>
        <w:t xml:space="preserve"> </w:t>
      </w:r>
    </w:p>
    <w:p w14:paraId="0231E01F" w14:textId="0C27C281" w:rsidR="0052072B" w:rsidRDefault="00BE4975" w:rsidP="00414D4A">
      <w:pPr>
        <w:spacing w:after="120"/>
        <w:ind w:left="397" w:hanging="394"/>
        <w:jc w:val="both"/>
        <w:rPr>
          <w:rFonts w:ascii="Arial" w:hAnsi="Arial" w:cs="Arial"/>
          <w:sz w:val="20"/>
          <w:szCs w:val="20"/>
        </w:rPr>
      </w:pPr>
      <w:r>
        <w:rPr>
          <w:rFonts w:ascii="Arial" w:hAnsi="Arial" w:cs="Arial"/>
          <w:sz w:val="20"/>
          <w:szCs w:val="20"/>
        </w:rPr>
        <w:t>2.</w:t>
      </w:r>
      <w:r>
        <w:rPr>
          <w:rFonts w:ascii="Arial" w:hAnsi="Arial" w:cs="Arial"/>
          <w:sz w:val="20"/>
          <w:szCs w:val="20"/>
        </w:rPr>
        <w:tab/>
      </w:r>
      <w:r w:rsidR="00673B16">
        <w:rPr>
          <w:rFonts w:ascii="Arial" w:hAnsi="Arial" w:cs="Arial"/>
          <w:sz w:val="20"/>
          <w:szCs w:val="20"/>
        </w:rPr>
        <w:t>Smluvní strany pro vyloučení pochybností konstatují, že každá z</w:t>
      </w:r>
      <w:r w:rsidR="00B20F75">
        <w:rPr>
          <w:rFonts w:ascii="Arial" w:hAnsi="Arial" w:cs="Arial"/>
          <w:sz w:val="20"/>
          <w:szCs w:val="20"/>
        </w:rPr>
        <w:t xml:space="preserve">álohová platba </w:t>
      </w:r>
      <w:r w:rsidR="007D6023">
        <w:rPr>
          <w:rFonts w:ascii="Arial" w:hAnsi="Arial" w:cs="Arial"/>
          <w:sz w:val="20"/>
          <w:szCs w:val="20"/>
        </w:rPr>
        <w:t xml:space="preserve">na cenu za službu dodávek </w:t>
      </w:r>
      <w:r w:rsidR="00A035A2">
        <w:rPr>
          <w:rFonts w:ascii="Arial" w:hAnsi="Arial" w:cs="Arial"/>
          <w:sz w:val="20"/>
          <w:szCs w:val="20"/>
        </w:rPr>
        <w:t>je</w:t>
      </w:r>
      <w:r w:rsidR="00B20F75">
        <w:rPr>
          <w:rFonts w:ascii="Arial" w:hAnsi="Arial" w:cs="Arial"/>
          <w:sz w:val="20"/>
          <w:szCs w:val="20"/>
        </w:rPr>
        <w:t xml:space="preserve"> tvořena zálohou na cenu za komoditu a zálohou na cenu za zajišťování dodávání komodity.</w:t>
      </w:r>
    </w:p>
    <w:p w14:paraId="1E33F471" w14:textId="485A245B" w:rsidR="00B20F75" w:rsidRDefault="00BE4975" w:rsidP="00B20F75">
      <w:pPr>
        <w:spacing w:after="120"/>
        <w:ind w:left="397" w:hanging="394"/>
        <w:jc w:val="both"/>
        <w:rPr>
          <w:rFonts w:ascii="Arial" w:hAnsi="Arial" w:cs="Arial"/>
          <w:sz w:val="20"/>
          <w:szCs w:val="20"/>
        </w:rPr>
      </w:pPr>
      <w:r>
        <w:rPr>
          <w:rFonts w:ascii="Arial" w:hAnsi="Arial" w:cs="Arial"/>
          <w:sz w:val="20"/>
          <w:szCs w:val="20"/>
        </w:rPr>
        <w:lastRenderedPageBreak/>
        <w:t>3</w:t>
      </w:r>
      <w:r w:rsidR="00E130CA">
        <w:rPr>
          <w:rFonts w:ascii="Arial" w:hAnsi="Arial" w:cs="Arial"/>
          <w:sz w:val="20"/>
          <w:szCs w:val="20"/>
        </w:rPr>
        <w:t>.</w:t>
      </w:r>
      <w:r w:rsidR="00E130CA">
        <w:rPr>
          <w:rFonts w:ascii="Arial" w:hAnsi="Arial" w:cs="Arial"/>
          <w:sz w:val="20"/>
          <w:szCs w:val="20"/>
        </w:rPr>
        <w:tab/>
        <w:t>Základem pro stanovení v</w:t>
      </w:r>
      <w:r w:rsidR="0052072B">
        <w:rPr>
          <w:rFonts w:ascii="Arial" w:hAnsi="Arial" w:cs="Arial"/>
          <w:sz w:val="20"/>
          <w:szCs w:val="20"/>
        </w:rPr>
        <w:t xml:space="preserve">ýše </w:t>
      </w:r>
      <w:r w:rsidR="00E130CA">
        <w:rPr>
          <w:rFonts w:ascii="Arial" w:hAnsi="Arial" w:cs="Arial"/>
          <w:sz w:val="20"/>
          <w:szCs w:val="20"/>
        </w:rPr>
        <w:t xml:space="preserve">každé </w:t>
      </w:r>
      <w:r w:rsidR="0052072B">
        <w:rPr>
          <w:rFonts w:ascii="Arial" w:hAnsi="Arial" w:cs="Arial"/>
          <w:sz w:val="20"/>
          <w:szCs w:val="20"/>
        </w:rPr>
        <w:t xml:space="preserve">zálohové platby na </w:t>
      </w:r>
      <w:r w:rsidR="00B20F75">
        <w:rPr>
          <w:rFonts w:ascii="Arial" w:hAnsi="Arial" w:cs="Arial"/>
          <w:sz w:val="20"/>
          <w:szCs w:val="20"/>
        </w:rPr>
        <w:t xml:space="preserve">cenu za </w:t>
      </w:r>
      <w:r w:rsidR="0052072B">
        <w:rPr>
          <w:rFonts w:ascii="Arial" w:hAnsi="Arial" w:cs="Arial"/>
          <w:sz w:val="20"/>
          <w:szCs w:val="20"/>
        </w:rPr>
        <w:t>službu dodávek</w:t>
      </w:r>
      <w:r w:rsidR="00E130CA">
        <w:rPr>
          <w:rFonts w:ascii="Arial" w:hAnsi="Arial" w:cs="Arial"/>
          <w:sz w:val="20"/>
          <w:szCs w:val="20"/>
        </w:rPr>
        <w:t xml:space="preserve"> bude</w:t>
      </w:r>
      <w:r w:rsidR="00B20F75">
        <w:rPr>
          <w:rFonts w:ascii="Arial" w:hAnsi="Arial" w:cs="Arial"/>
          <w:sz w:val="20"/>
          <w:szCs w:val="20"/>
        </w:rPr>
        <w:t xml:space="preserve"> </w:t>
      </w:r>
      <w:r w:rsidR="00DE2CDD" w:rsidRPr="00B778A3">
        <w:rPr>
          <w:rFonts w:ascii="Arial" w:hAnsi="Arial"/>
          <w:sz w:val="20"/>
        </w:rPr>
        <w:t>60 % předpokládaného objemu spotřeby trakční elektrické energie</w:t>
      </w:r>
      <w:r w:rsidR="00DE2CDD">
        <w:rPr>
          <w:rFonts w:ascii="Arial" w:hAnsi="Arial" w:cs="Arial"/>
          <w:sz w:val="20"/>
          <w:szCs w:val="20"/>
        </w:rPr>
        <w:t xml:space="preserve"> dopravcem v </w:t>
      </w:r>
      <w:r w:rsidR="005678E1">
        <w:rPr>
          <w:rFonts w:ascii="Arial" w:hAnsi="Arial" w:cs="Arial"/>
          <w:sz w:val="20"/>
          <w:szCs w:val="20"/>
        </w:rPr>
        <w:t>(zálohovém)</w:t>
      </w:r>
      <w:r w:rsidR="00DE2CDD">
        <w:rPr>
          <w:rFonts w:ascii="Arial" w:hAnsi="Arial" w:cs="Arial"/>
          <w:sz w:val="20"/>
          <w:szCs w:val="20"/>
        </w:rPr>
        <w:t xml:space="preserve"> měsíci</w:t>
      </w:r>
      <w:r w:rsidR="00B20F75">
        <w:rPr>
          <w:rFonts w:ascii="Arial" w:hAnsi="Arial" w:cs="Arial"/>
          <w:sz w:val="20"/>
          <w:szCs w:val="20"/>
        </w:rPr>
        <w:t xml:space="preserve">, na který </w:t>
      </w:r>
      <w:r w:rsidR="00673B16">
        <w:rPr>
          <w:rFonts w:ascii="Arial" w:hAnsi="Arial" w:cs="Arial"/>
          <w:sz w:val="20"/>
          <w:szCs w:val="20"/>
        </w:rPr>
        <w:t>bude provozovatel</w:t>
      </w:r>
      <w:r w:rsidR="00B20F75">
        <w:rPr>
          <w:rFonts w:ascii="Arial" w:hAnsi="Arial" w:cs="Arial"/>
          <w:sz w:val="20"/>
          <w:szCs w:val="20"/>
        </w:rPr>
        <w:t xml:space="preserve"> </w:t>
      </w:r>
      <w:r w:rsidR="00673B16">
        <w:rPr>
          <w:rFonts w:ascii="Arial" w:hAnsi="Arial" w:cs="Arial"/>
          <w:sz w:val="20"/>
          <w:szCs w:val="20"/>
        </w:rPr>
        <w:t xml:space="preserve">výši </w:t>
      </w:r>
      <w:r w:rsidR="00B20F75">
        <w:rPr>
          <w:rFonts w:ascii="Arial" w:hAnsi="Arial" w:cs="Arial"/>
          <w:sz w:val="20"/>
          <w:szCs w:val="20"/>
        </w:rPr>
        <w:t>zálohov</w:t>
      </w:r>
      <w:r w:rsidR="00673B16">
        <w:rPr>
          <w:rFonts w:ascii="Arial" w:hAnsi="Arial" w:cs="Arial"/>
          <w:sz w:val="20"/>
          <w:szCs w:val="20"/>
        </w:rPr>
        <w:t>é</w:t>
      </w:r>
      <w:r w:rsidR="00B20F75">
        <w:rPr>
          <w:rFonts w:ascii="Arial" w:hAnsi="Arial" w:cs="Arial"/>
          <w:sz w:val="20"/>
          <w:szCs w:val="20"/>
        </w:rPr>
        <w:t xml:space="preserve"> platb</w:t>
      </w:r>
      <w:r w:rsidR="00673B16">
        <w:rPr>
          <w:rFonts w:ascii="Arial" w:hAnsi="Arial" w:cs="Arial"/>
          <w:sz w:val="20"/>
          <w:szCs w:val="20"/>
        </w:rPr>
        <w:t>y</w:t>
      </w:r>
      <w:r w:rsidR="00B20F75">
        <w:rPr>
          <w:rFonts w:ascii="Arial" w:hAnsi="Arial" w:cs="Arial"/>
          <w:sz w:val="20"/>
          <w:szCs w:val="20"/>
        </w:rPr>
        <w:t xml:space="preserve"> </w:t>
      </w:r>
      <w:r w:rsidR="00673B16">
        <w:rPr>
          <w:rFonts w:ascii="Arial" w:hAnsi="Arial" w:cs="Arial"/>
          <w:sz w:val="20"/>
          <w:szCs w:val="20"/>
        </w:rPr>
        <w:t>stanovovat</w:t>
      </w:r>
      <w:r w:rsidR="004C6B1F">
        <w:rPr>
          <w:rFonts w:ascii="Arial" w:hAnsi="Arial" w:cs="Arial"/>
          <w:sz w:val="20"/>
          <w:szCs w:val="20"/>
        </w:rPr>
        <w:t xml:space="preserve"> a dopravce platit</w:t>
      </w:r>
      <w:r w:rsidR="00B20F75" w:rsidRPr="004C6B1F">
        <w:rPr>
          <w:rFonts w:ascii="Arial" w:hAnsi="Arial" w:cs="Arial"/>
          <w:sz w:val="20"/>
          <w:szCs w:val="20"/>
        </w:rPr>
        <w:t>.</w:t>
      </w:r>
      <w:r w:rsidR="00B20F75">
        <w:rPr>
          <w:rFonts w:ascii="Arial" w:hAnsi="Arial" w:cs="Arial"/>
          <w:sz w:val="20"/>
          <w:szCs w:val="20"/>
        </w:rPr>
        <w:t xml:space="preserve"> Předpokládaný objem spotřeby trakční elektrické energie dopravcem </w:t>
      </w:r>
      <w:r w:rsidR="00DE2CDD" w:rsidRPr="00AB4717">
        <w:rPr>
          <w:rFonts w:ascii="Arial" w:hAnsi="Arial" w:cs="Arial"/>
          <w:sz w:val="20"/>
          <w:szCs w:val="20"/>
        </w:rPr>
        <w:t xml:space="preserve">bude </w:t>
      </w:r>
      <w:r w:rsidR="00B20F75">
        <w:rPr>
          <w:rFonts w:ascii="Arial" w:hAnsi="Arial" w:cs="Arial"/>
          <w:sz w:val="20"/>
          <w:szCs w:val="20"/>
        </w:rPr>
        <w:t xml:space="preserve">pro příslušný </w:t>
      </w:r>
      <w:r w:rsidR="005678E1">
        <w:rPr>
          <w:rFonts w:ascii="Arial" w:hAnsi="Arial" w:cs="Arial"/>
          <w:sz w:val="20"/>
          <w:szCs w:val="20"/>
        </w:rPr>
        <w:t>(zálohový)</w:t>
      </w:r>
      <w:r w:rsidR="00B20F75">
        <w:rPr>
          <w:rFonts w:ascii="Arial" w:hAnsi="Arial" w:cs="Arial"/>
          <w:sz w:val="20"/>
          <w:szCs w:val="20"/>
        </w:rPr>
        <w:t xml:space="preserve"> měsíc </w:t>
      </w:r>
      <w:r w:rsidR="00DE2CDD">
        <w:rPr>
          <w:rFonts w:ascii="Arial" w:hAnsi="Arial" w:cs="Arial"/>
          <w:sz w:val="20"/>
          <w:szCs w:val="20"/>
        </w:rPr>
        <w:t xml:space="preserve">vypočítaný podle vývoje spotřeby </w:t>
      </w:r>
      <w:r w:rsidR="00B20F75">
        <w:rPr>
          <w:rFonts w:ascii="Arial" w:hAnsi="Arial" w:cs="Arial"/>
          <w:sz w:val="20"/>
          <w:szCs w:val="20"/>
        </w:rPr>
        <w:t xml:space="preserve">trakční elektrické energie </w:t>
      </w:r>
      <w:r w:rsidR="00DE2CDD">
        <w:rPr>
          <w:rFonts w:ascii="Arial" w:hAnsi="Arial" w:cs="Arial"/>
          <w:sz w:val="20"/>
          <w:szCs w:val="20"/>
        </w:rPr>
        <w:t xml:space="preserve">dopravcem </w:t>
      </w:r>
      <w:r w:rsidR="00B20F75">
        <w:rPr>
          <w:rFonts w:ascii="Arial" w:hAnsi="Arial" w:cs="Arial"/>
          <w:sz w:val="20"/>
          <w:szCs w:val="20"/>
        </w:rPr>
        <w:t>pro</w:t>
      </w:r>
      <w:r w:rsidR="00DE2CDD">
        <w:rPr>
          <w:rFonts w:ascii="Arial" w:hAnsi="Arial" w:cs="Arial"/>
          <w:sz w:val="20"/>
          <w:szCs w:val="20"/>
        </w:rPr>
        <w:t> dan</w:t>
      </w:r>
      <w:r w:rsidR="00B20F75">
        <w:rPr>
          <w:rFonts w:ascii="Arial" w:hAnsi="Arial" w:cs="Arial"/>
          <w:sz w:val="20"/>
          <w:szCs w:val="20"/>
        </w:rPr>
        <w:t>ý</w:t>
      </w:r>
      <w:r w:rsidR="00DE2CDD" w:rsidRPr="004C6B1F">
        <w:rPr>
          <w:rFonts w:ascii="Arial" w:hAnsi="Arial" w:cs="Arial"/>
          <w:sz w:val="20"/>
          <w:szCs w:val="20"/>
        </w:rPr>
        <w:t xml:space="preserve"> </w:t>
      </w:r>
      <w:r w:rsidR="005678E1">
        <w:rPr>
          <w:rFonts w:ascii="Arial" w:hAnsi="Arial" w:cs="Arial"/>
          <w:sz w:val="20"/>
          <w:szCs w:val="20"/>
        </w:rPr>
        <w:t>(zálohový)</w:t>
      </w:r>
      <w:r w:rsidR="00DE2CDD">
        <w:rPr>
          <w:rFonts w:ascii="Arial" w:hAnsi="Arial" w:cs="Arial"/>
          <w:sz w:val="20"/>
          <w:szCs w:val="20"/>
        </w:rPr>
        <w:t xml:space="preserve"> měsíc v předchozích letech.</w:t>
      </w:r>
      <w:r w:rsidR="00B20F75" w:rsidRPr="00B20F75">
        <w:rPr>
          <w:rFonts w:ascii="Arial" w:hAnsi="Arial" w:cs="Arial"/>
          <w:sz w:val="20"/>
          <w:szCs w:val="20"/>
        </w:rPr>
        <w:t xml:space="preserve"> </w:t>
      </w:r>
    </w:p>
    <w:p w14:paraId="7E323F35" w14:textId="5C7E23AB" w:rsidR="00B20F75" w:rsidRDefault="00B20F75" w:rsidP="00B20F75">
      <w:pPr>
        <w:spacing w:after="120"/>
        <w:ind w:left="397" w:hanging="394"/>
        <w:jc w:val="both"/>
        <w:rPr>
          <w:rFonts w:ascii="Arial" w:hAnsi="Arial" w:cs="Arial"/>
          <w:sz w:val="20"/>
          <w:szCs w:val="20"/>
        </w:rPr>
      </w:pPr>
      <w:r>
        <w:rPr>
          <w:rFonts w:ascii="Arial" w:hAnsi="Arial" w:cs="Arial"/>
          <w:sz w:val="20"/>
          <w:szCs w:val="20"/>
        </w:rPr>
        <w:t>4.</w:t>
      </w:r>
      <w:r>
        <w:rPr>
          <w:rFonts w:ascii="Arial" w:hAnsi="Arial" w:cs="Arial"/>
          <w:sz w:val="20"/>
          <w:szCs w:val="20"/>
        </w:rPr>
        <w:tab/>
      </w:r>
      <w:r w:rsidR="00BE4975">
        <w:rPr>
          <w:rFonts w:ascii="Arial" w:hAnsi="Arial" w:cs="Arial"/>
          <w:sz w:val="20"/>
          <w:szCs w:val="20"/>
        </w:rPr>
        <w:t>Dopravce se zavazuje uhradit provozovateli</w:t>
      </w:r>
      <w:r>
        <w:rPr>
          <w:rFonts w:ascii="Arial" w:hAnsi="Arial" w:cs="Arial"/>
          <w:sz w:val="20"/>
          <w:szCs w:val="20"/>
        </w:rPr>
        <w:t xml:space="preserve"> </w:t>
      </w:r>
      <w:r w:rsidR="00FB4192">
        <w:rPr>
          <w:rFonts w:ascii="Arial" w:hAnsi="Arial" w:cs="Arial"/>
          <w:sz w:val="20"/>
          <w:szCs w:val="20"/>
        </w:rPr>
        <w:t xml:space="preserve">každou </w:t>
      </w:r>
      <w:r>
        <w:rPr>
          <w:rFonts w:ascii="Arial" w:hAnsi="Arial" w:cs="Arial"/>
          <w:sz w:val="20"/>
          <w:szCs w:val="20"/>
        </w:rPr>
        <w:t>zálohov</w:t>
      </w:r>
      <w:r w:rsidR="00BE4975">
        <w:rPr>
          <w:rFonts w:ascii="Arial" w:hAnsi="Arial" w:cs="Arial"/>
          <w:sz w:val="20"/>
          <w:szCs w:val="20"/>
        </w:rPr>
        <w:t>ou</w:t>
      </w:r>
      <w:r>
        <w:rPr>
          <w:rFonts w:ascii="Arial" w:hAnsi="Arial" w:cs="Arial"/>
          <w:sz w:val="20"/>
          <w:szCs w:val="20"/>
        </w:rPr>
        <w:t xml:space="preserve"> platb</w:t>
      </w:r>
      <w:r w:rsidR="00BE4975">
        <w:rPr>
          <w:rFonts w:ascii="Arial" w:hAnsi="Arial" w:cs="Arial"/>
          <w:sz w:val="20"/>
          <w:szCs w:val="20"/>
        </w:rPr>
        <w:t>u</w:t>
      </w:r>
      <w:r>
        <w:rPr>
          <w:rFonts w:ascii="Arial" w:hAnsi="Arial" w:cs="Arial"/>
          <w:sz w:val="20"/>
          <w:szCs w:val="20"/>
        </w:rPr>
        <w:t xml:space="preserve"> na</w:t>
      </w:r>
      <w:r w:rsidR="007D6023">
        <w:rPr>
          <w:rFonts w:ascii="Arial" w:hAnsi="Arial" w:cs="Arial"/>
          <w:sz w:val="20"/>
          <w:szCs w:val="20"/>
        </w:rPr>
        <w:t xml:space="preserve"> cenu za</w:t>
      </w:r>
      <w:r>
        <w:rPr>
          <w:rFonts w:ascii="Arial" w:hAnsi="Arial" w:cs="Arial"/>
          <w:sz w:val="20"/>
          <w:szCs w:val="20"/>
        </w:rPr>
        <w:t xml:space="preserve"> službu dodávek </w:t>
      </w:r>
      <w:r w:rsidR="007D6023">
        <w:rPr>
          <w:rFonts w:ascii="Arial" w:hAnsi="Arial" w:cs="Arial"/>
          <w:sz w:val="20"/>
          <w:szCs w:val="20"/>
        </w:rPr>
        <w:t xml:space="preserve">nejpozději do </w:t>
      </w:r>
      <w:r w:rsidR="00E31DAA" w:rsidRPr="00B778A3">
        <w:rPr>
          <w:rFonts w:ascii="Arial" w:hAnsi="Arial" w:cs="Arial"/>
          <w:sz w:val="20"/>
          <w:szCs w:val="20"/>
        </w:rPr>
        <w:t>desátého (</w:t>
      </w:r>
      <w:r w:rsidRPr="00B778A3">
        <w:rPr>
          <w:rFonts w:ascii="Arial" w:hAnsi="Arial" w:cs="Arial"/>
          <w:sz w:val="20"/>
          <w:szCs w:val="20"/>
        </w:rPr>
        <w:t>10.</w:t>
      </w:r>
      <w:r w:rsidR="00E31DAA" w:rsidRPr="00B778A3">
        <w:rPr>
          <w:rFonts w:ascii="Arial" w:hAnsi="Arial" w:cs="Arial"/>
          <w:sz w:val="20"/>
          <w:szCs w:val="20"/>
        </w:rPr>
        <w:t>)</w:t>
      </w:r>
      <w:r w:rsidRPr="00B778A3">
        <w:rPr>
          <w:rFonts w:ascii="Arial" w:hAnsi="Arial" w:cs="Arial"/>
          <w:sz w:val="20"/>
          <w:szCs w:val="20"/>
        </w:rPr>
        <w:t xml:space="preserve"> dne příslušného</w:t>
      </w:r>
      <w:r w:rsidRPr="00B778A3">
        <w:rPr>
          <w:rFonts w:ascii="Arial" w:hAnsi="Arial"/>
          <w:sz w:val="20"/>
        </w:rPr>
        <w:t xml:space="preserve"> </w:t>
      </w:r>
      <w:r w:rsidR="005678E1">
        <w:rPr>
          <w:rFonts w:ascii="Arial" w:hAnsi="Arial" w:cs="Arial"/>
          <w:sz w:val="20"/>
          <w:szCs w:val="20"/>
        </w:rPr>
        <w:t>(zálohového)</w:t>
      </w:r>
      <w:r w:rsidRPr="00B778A3">
        <w:rPr>
          <w:rFonts w:ascii="Arial" w:hAnsi="Arial"/>
          <w:sz w:val="20"/>
        </w:rPr>
        <w:t xml:space="preserve"> měsíce</w:t>
      </w:r>
      <w:r w:rsidR="007D6023">
        <w:rPr>
          <w:rFonts w:ascii="Arial" w:hAnsi="Arial" w:cs="Arial"/>
          <w:sz w:val="20"/>
          <w:szCs w:val="20"/>
        </w:rPr>
        <w:t xml:space="preserve">, </w:t>
      </w:r>
      <w:r w:rsidR="00627242">
        <w:rPr>
          <w:rFonts w:ascii="Arial" w:hAnsi="Arial" w:cs="Arial"/>
          <w:sz w:val="20"/>
          <w:szCs w:val="20"/>
        </w:rPr>
        <w:t xml:space="preserve">na který bude tato zálohová platba </w:t>
      </w:r>
      <w:r w:rsidR="007D6023">
        <w:rPr>
          <w:rFonts w:ascii="Arial" w:hAnsi="Arial" w:cs="Arial"/>
          <w:sz w:val="20"/>
          <w:szCs w:val="20"/>
        </w:rPr>
        <w:t>provozovatel</w:t>
      </w:r>
      <w:r w:rsidR="00627242">
        <w:rPr>
          <w:rFonts w:ascii="Arial" w:hAnsi="Arial" w:cs="Arial"/>
          <w:sz w:val="20"/>
          <w:szCs w:val="20"/>
        </w:rPr>
        <w:t>em</w:t>
      </w:r>
      <w:r w:rsidR="007D6023">
        <w:rPr>
          <w:rFonts w:ascii="Arial" w:hAnsi="Arial" w:cs="Arial"/>
          <w:sz w:val="20"/>
          <w:szCs w:val="20"/>
        </w:rPr>
        <w:t xml:space="preserve"> </w:t>
      </w:r>
      <w:r w:rsidR="00627242">
        <w:rPr>
          <w:rFonts w:ascii="Arial" w:hAnsi="Arial" w:cs="Arial"/>
          <w:sz w:val="20"/>
          <w:szCs w:val="20"/>
        </w:rPr>
        <w:t>stanovena</w:t>
      </w:r>
      <w:r w:rsidR="005678E1">
        <w:rPr>
          <w:rFonts w:ascii="Arial" w:hAnsi="Arial" w:cs="Arial"/>
          <w:sz w:val="20"/>
          <w:szCs w:val="20"/>
        </w:rPr>
        <w:t xml:space="preserve"> a dopravcem placena</w:t>
      </w:r>
      <w:r>
        <w:rPr>
          <w:rFonts w:ascii="Arial" w:hAnsi="Arial" w:cs="Arial"/>
          <w:sz w:val="20"/>
          <w:szCs w:val="20"/>
        </w:rPr>
        <w:t>.</w:t>
      </w:r>
      <w:r w:rsidR="00AD728A">
        <w:rPr>
          <w:rFonts w:ascii="Arial" w:hAnsi="Arial" w:cs="Arial"/>
          <w:sz w:val="20"/>
          <w:szCs w:val="20"/>
        </w:rPr>
        <w:t xml:space="preserve"> Nebude-li tato smlouva o dodávkách v účinnosti v příslušném kalendářním měsíci alespoň po dobu </w:t>
      </w:r>
      <w:r w:rsidR="00AD728A" w:rsidRPr="00B778A3">
        <w:rPr>
          <w:rFonts w:ascii="Arial" w:hAnsi="Arial"/>
          <w:sz w:val="20"/>
        </w:rPr>
        <w:t xml:space="preserve">deseti </w:t>
      </w:r>
      <w:r w:rsidR="005678E1" w:rsidRPr="00B778A3">
        <w:rPr>
          <w:rFonts w:ascii="Arial" w:hAnsi="Arial" w:cs="Arial"/>
          <w:sz w:val="20"/>
          <w:szCs w:val="20"/>
        </w:rPr>
        <w:t xml:space="preserve">(10) </w:t>
      </w:r>
      <w:r w:rsidR="00AD728A" w:rsidRPr="00B778A3">
        <w:rPr>
          <w:rFonts w:ascii="Arial" w:hAnsi="Arial"/>
          <w:sz w:val="20"/>
        </w:rPr>
        <w:t>dnů</w:t>
      </w:r>
      <w:r w:rsidR="00AD728A">
        <w:rPr>
          <w:rFonts w:ascii="Arial" w:hAnsi="Arial" w:cs="Arial"/>
          <w:sz w:val="20"/>
          <w:szCs w:val="20"/>
        </w:rPr>
        <w:t>, dopravce za takovou část měsíce zálohovou platbu nehradí</w:t>
      </w:r>
      <w:r w:rsidR="00AD728A" w:rsidRPr="005678E1">
        <w:rPr>
          <w:rFonts w:ascii="Arial" w:hAnsi="Arial" w:cs="Arial"/>
          <w:sz w:val="20"/>
          <w:szCs w:val="20"/>
        </w:rPr>
        <w:t>.</w:t>
      </w:r>
    </w:p>
    <w:p w14:paraId="763E1DCD" w14:textId="732A75B1" w:rsidR="00BE4975" w:rsidRDefault="007D6023" w:rsidP="00646DC7">
      <w:pPr>
        <w:spacing w:after="120"/>
        <w:ind w:left="397" w:hanging="394"/>
        <w:jc w:val="both"/>
        <w:rPr>
          <w:rFonts w:ascii="Arial" w:hAnsi="Arial" w:cs="Arial"/>
          <w:sz w:val="20"/>
          <w:szCs w:val="20"/>
        </w:rPr>
      </w:pPr>
      <w:r w:rsidRPr="005678E1">
        <w:rPr>
          <w:rFonts w:ascii="Arial" w:hAnsi="Arial" w:cs="Arial"/>
          <w:sz w:val="20"/>
          <w:szCs w:val="20"/>
        </w:rPr>
        <w:t>5</w:t>
      </w:r>
      <w:r w:rsidR="00BE4975" w:rsidRPr="005678E1">
        <w:rPr>
          <w:rFonts w:ascii="Arial" w:hAnsi="Arial" w:cs="Arial"/>
          <w:sz w:val="20"/>
          <w:szCs w:val="20"/>
        </w:rPr>
        <w:t>.</w:t>
      </w:r>
      <w:r w:rsidRPr="005678E1">
        <w:rPr>
          <w:rFonts w:ascii="Arial" w:hAnsi="Arial" w:cs="Arial"/>
          <w:sz w:val="20"/>
          <w:szCs w:val="20"/>
        </w:rPr>
        <w:tab/>
      </w:r>
      <w:r w:rsidR="00F975EA">
        <w:rPr>
          <w:rFonts w:ascii="Arial" w:hAnsi="Arial" w:cs="Arial"/>
          <w:sz w:val="20"/>
          <w:szCs w:val="20"/>
        </w:rPr>
        <w:t xml:space="preserve">Fakturačním (zúčtovacím) </w:t>
      </w:r>
      <w:r w:rsidR="00BE4975">
        <w:rPr>
          <w:rFonts w:ascii="Arial" w:hAnsi="Arial" w:cs="Arial"/>
          <w:sz w:val="20"/>
          <w:szCs w:val="20"/>
        </w:rPr>
        <w:t xml:space="preserve">obdobím služby dodávek je </w:t>
      </w:r>
      <w:r w:rsidR="00627242" w:rsidRPr="00B778A3">
        <w:rPr>
          <w:rFonts w:ascii="Arial" w:hAnsi="Arial"/>
          <w:sz w:val="20"/>
        </w:rPr>
        <w:t xml:space="preserve">jeden (1) </w:t>
      </w:r>
      <w:r w:rsidR="00BE4975" w:rsidRPr="00B778A3">
        <w:rPr>
          <w:rFonts w:ascii="Arial" w:hAnsi="Arial"/>
          <w:sz w:val="20"/>
        </w:rPr>
        <w:t>kalendářní měsíc</w:t>
      </w:r>
      <w:r w:rsidR="00BE4975">
        <w:rPr>
          <w:rFonts w:ascii="Arial" w:hAnsi="Arial" w:cs="Arial"/>
          <w:sz w:val="20"/>
          <w:szCs w:val="20"/>
        </w:rPr>
        <w:t xml:space="preserve">. </w:t>
      </w:r>
      <w:r w:rsidR="00BE4975" w:rsidRPr="00BC3B0C">
        <w:rPr>
          <w:rFonts w:ascii="Arial" w:hAnsi="Arial" w:cs="Arial"/>
          <w:sz w:val="20"/>
          <w:szCs w:val="20"/>
        </w:rPr>
        <w:t>Nebude-li tato smlouva o</w:t>
      </w:r>
      <w:r w:rsidR="00BE4975">
        <w:rPr>
          <w:rFonts w:ascii="Arial" w:hAnsi="Arial" w:cs="Arial"/>
          <w:sz w:val="20"/>
          <w:szCs w:val="20"/>
        </w:rPr>
        <w:t> </w:t>
      </w:r>
      <w:r w:rsidR="00BE4975" w:rsidRPr="00BC3B0C">
        <w:rPr>
          <w:rFonts w:ascii="Arial" w:hAnsi="Arial" w:cs="Arial"/>
          <w:sz w:val="20"/>
          <w:szCs w:val="20"/>
        </w:rPr>
        <w:t xml:space="preserve">dodávkách v účinnosti po celý kalendářní měsíc, bude </w:t>
      </w:r>
      <w:r w:rsidR="00F975EA">
        <w:rPr>
          <w:rFonts w:ascii="Arial" w:hAnsi="Arial" w:cs="Arial"/>
          <w:sz w:val="20"/>
          <w:szCs w:val="20"/>
        </w:rPr>
        <w:t xml:space="preserve">fakturačním </w:t>
      </w:r>
      <w:r w:rsidR="00BE4975" w:rsidRPr="00BC3B0C">
        <w:rPr>
          <w:rFonts w:ascii="Arial" w:hAnsi="Arial" w:cs="Arial"/>
          <w:sz w:val="20"/>
          <w:szCs w:val="20"/>
        </w:rPr>
        <w:t xml:space="preserve">obdobím </w:t>
      </w:r>
      <w:r w:rsidR="00BE4975">
        <w:rPr>
          <w:rFonts w:ascii="Arial" w:hAnsi="Arial" w:cs="Arial"/>
          <w:sz w:val="20"/>
          <w:szCs w:val="20"/>
        </w:rPr>
        <w:t xml:space="preserve">služby dodávek </w:t>
      </w:r>
      <w:r w:rsidR="00BE4975" w:rsidRPr="00BC3B0C">
        <w:rPr>
          <w:rFonts w:ascii="Arial" w:hAnsi="Arial" w:cs="Arial"/>
          <w:sz w:val="20"/>
          <w:szCs w:val="20"/>
        </w:rPr>
        <w:t>pouze příslušná část takového měsíce.</w:t>
      </w:r>
    </w:p>
    <w:p w14:paraId="5DAE9559" w14:textId="77777777" w:rsidR="005678E1" w:rsidRDefault="005678E1" w:rsidP="00646DC7">
      <w:pPr>
        <w:spacing w:after="120"/>
        <w:ind w:left="397" w:hanging="394"/>
        <w:jc w:val="both"/>
        <w:rPr>
          <w:rFonts w:ascii="Arial" w:hAnsi="Arial" w:cs="Arial"/>
          <w:sz w:val="20"/>
          <w:szCs w:val="20"/>
        </w:rPr>
      </w:pPr>
      <w:r>
        <w:rPr>
          <w:rFonts w:ascii="Arial" w:hAnsi="Arial" w:cs="Arial"/>
          <w:sz w:val="20"/>
          <w:szCs w:val="20"/>
        </w:rPr>
        <w:t>6.</w:t>
      </w:r>
      <w:r>
        <w:rPr>
          <w:rFonts w:ascii="Arial" w:hAnsi="Arial" w:cs="Arial"/>
          <w:sz w:val="20"/>
          <w:szCs w:val="20"/>
        </w:rPr>
        <w:tab/>
      </w:r>
      <w:r w:rsidR="00AE6240" w:rsidRPr="005678E1">
        <w:rPr>
          <w:rFonts w:ascii="Arial" w:hAnsi="Arial" w:cs="Arial"/>
          <w:sz w:val="20"/>
          <w:szCs w:val="20"/>
        </w:rPr>
        <w:t>Provozovatel vystaví fakturu na cenu za službu dodávek nejpozději do</w:t>
      </w:r>
      <w:r w:rsidR="00E31DAA" w:rsidRPr="005678E1">
        <w:rPr>
          <w:rFonts w:ascii="Arial" w:hAnsi="Arial" w:cs="Arial"/>
          <w:sz w:val="20"/>
          <w:szCs w:val="20"/>
        </w:rPr>
        <w:t xml:space="preserve"> </w:t>
      </w:r>
      <w:r w:rsidR="00E31DAA" w:rsidRPr="00B778A3">
        <w:rPr>
          <w:rFonts w:ascii="Arial" w:hAnsi="Arial" w:cs="Arial"/>
          <w:sz w:val="20"/>
          <w:szCs w:val="20"/>
        </w:rPr>
        <w:t>patnácti</w:t>
      </w:r>
      <w:r w:rsidR="00AE6240" w:rsidRPr="00B778A3">
        <w:rPr>
          <w:rFonts w:ascii="Arial" w:hAnsi="Arial" w:cs="Arial"/>
          <w:sz w:val="20"/>
          <w:szCs w:val="20"/>
        </w:rPr>
        <w:t xml:space="preserve"> </w:t>
      </w:r>
      <w:r w:rsidR="00E31DAA" w:rsidRPr="00B778A3">
        <w:rPr>
          <w:rFonts w:ascii="Arial" w:hAnsi="Arial" w:cs="Arial"/>
          <w:sz w:val="20"/>
          <w:szCs w:val="20"/>
        </w:rPr>
        <w:t>(</w:t>
      </w:r>
      <w:r w:rsidR="00AE6240" w:rsidRPr="00B778A3">
        <w:rPr>
          <w:rFonts w:ascii="Arial" w:hAnsi="Arial" w:cs="Arial"/>
          <w:sz w:val="20"/>
          <w:szCs w:val="20"/>
        </w:rPr>
        <w:t>15</w:t>
      </w:r>
      <w:r w:rsidR="00E31DAA" w:rsidRPr="00B778A3">
        <w:rPr>
          <w:rFonts w:ascii="Arial" w:hAnsi="Arial" w:cs="Arial"/>
          <w:sz w:val="20"/>
          <w:szCs w:val="20"/>
        </w:rPr>
        <w:t>)</w:t>
      </w:r>
      <w:r w:rsidR="00AE6240" w:rsidRPr="00B778A3">
        <w:rPr>
          <w:rFonts w:ascii="Arial" w:hAnsi="Arial" w:cs="Arial"/>
          <w:sz w:val="20"/>
          <w:szCs w:val="20"/>
        </w:rPr>
        <w:t xml:space="preserve"> dnů</w:t>
      </w:r>
      <w:r w:rsidR="00AE6240" w:rsidRPr="004B3CDA">
        <w:rPr>
          <w:rFonts w:ascii="Arial" w:hAnsi="Arial" w:cs="Arial"/>
          <w:sz w:val="20"/>
          <w:szCs w:val="20"/>
        </w:rPr>
        <w:t xml:space="preserve"> od zjištění </w:t>
      </w:r>
      <w:r w:rsidR="00AD728A" w:rsidRPr="004B3CDA">
        <w:rPr>
          <w:rFonts w:ascii="Arial" w:hAnsi="Arial" w:cs="Arial"/>
          <w:sz w:val="20"/>
          <w:szCs w:val="20"/>
        </w:rPr>
        <w:t>skutečné spotřeby trakční elektrické energie</w:t>
      </w:r>
      <w:r w:rsidR="00AD728A" w:rsidRPr="005678E1">
        <w:rPr>
          <w:rFonts w:ascii="Arial" w:hAnsi="Arial" w:cs="Arial"/>
          <w:sz w:val="20"/>
          <w:szCs w:val="20"/>
        </w:rPr>
        <w:t xml:space="preserve"> </w:t>
      </w:r>
      <w:r w:rsidR="00627242" w:rsidRPr="005678E1">
        <w:rPr>
          <w:rFonts w:ascii="Arial" w:hAnsi="Arial" w:cs="Arial"/>
          <w:sz w:val="20"/>
          <w:szCs w:val="20"/>
        </w:rPr>
        <w:t>ve smyslu příslušných právních předpisů</w:t>
      </w:r>
      <w:r w:rsidR="00D90A84" w:rsidRPr="00D90A84">
        <w:rPr>
          <w:rFonts w:ascii="Arial" w:hAnsi="Arial" w:cs="Arial"/>
          <w:sz w:val="20"/>
          <w:szCs w:val="20"/>
        </w:rPr>
        <w:t xml:space="preserve"> </w:t>
      </w:r>
      <w:r w:rsidR="00D90A84" w:rsidRPr="005678E1">
        <w:rPr>
          <w:rFonts w:ascii="Arial" w:hAnsi="Arial" w:cs="Arial"/>
          <w:sz w:val="20"/>
          <w:szCs w:val="20"/>
        </w:rPr>
        <w:t>za fakturační období</w:t>
      </w:r>
      <w:r w:rsidR="00AD728A" w:rsidRPr="005678E1">
        <w:rPr>
          <w:rFonts w:ascii="Arial" w:hAnsi="Arial" w:cs="Arial"/>
          <w:sz w:val="20"/>
          <w:szCs w:val="20"/>
        </w:rPr>
        <w:t>.</w:t>
      </w:r>
      <w:r w:rsidR="00D90A84">
        <w:rPr>
          <w:rFonts w:ascii="Arial" w:hAnsi="Arial" w:cs="Arial"/>
          <w:sz w:val="20"/>
          <w:szCs w:val="20"/>
        </w:rPr>
        <w:t xml:space="preserve"> </w:t>
      </w:r>
      <w:r w:rsidR="00D90A84" w:rsidRPr="00D90A84">
        <w:rPr>
          <w:rFonts w:ascii="Arial" w:hAnsi="Arial" w:cs="Arial"/>
          <w:sz w:val="20"/>
          <w:szCs w:val="20"/>
        </w:rPr>
        <w:tab/>
        <w:t xml:space="preserve">Zjištěním skutečné spotřeby </w:t>
      </w:r>
      <w:r w:rsidR="00982951">
        <w:rPr>
          <w:rFonts w:ascii="Arial" w:hAnsi="Arial" w:cs="Arial"/>
          <w:sz w:val="20"/>
          <w:szCs w:val="20"/>
        </w:rPr>
        <w:t xml:space="preserve">trakční elektrické energie </w:t>
      </w:r>
      <w:r w:rsidR="00D90A84" w:rsidRPr="00D90A84">
        <w:rPr>
          <w:rFonts w:ascii="Arial" w:hAnsi="Arial" w:cs="Arial"/>
          <w:sz w:val="20"/>
          <w:szCs w:val="20"/>
        </w:rPr>
        <w:t xml:space="preserve">se rozumí zpracování dat </w:t>
      </w:r>
      <w:r w:rsidR="00982951">
        <w:rPr>
          <w:rFonts w:ascii="Arial" w:hAnsi="Arial" w:cs="Arial"/>
          <w:sz w:val="20"/>
          <w:szCs w:val="20"/>
        </w:rPr>
        <w:t>h</w:t>
      </w:r>
      <w:r w:rsidR="00D90A84" w:rsidRPr="00D90A84">
        <w:rPr>
          <w:rFonts w:ascii="Arial" w:hAnsi="Arial" w:cs="Arial"/>
          <w:sz w:val="20"/>
          <w:szCs w:val="20"/>
        </w:rPr>
        <w:t>ybridního modelu</w:t>
      </w:r>
      <w:r w:rsidR="00982951">
        <w:rPr>
          <w:rFonts w:ascii="Arial" w:hAnsi="Arial" w:cs="Arial"/>
          <w:sz w:val="20"/>
          <w:szCs w:val="20"/>
        </w:rPr>
        <w:t xml:space="preserve"> uvedeného v příloze č. 1 této smlouvy o dodávkách</w:t>
      </w:r>
      <w:r w:rsidR="00D90A84" w:rsidRPr="00D90A84">
        <w:rPr>
          <w:rFonts w:ascii="Arial" w:hAnsi="Arial" w:cs="Arial"/>
          <w:sz w:val="20"/>
          <w:szCs w:val="20"/>
        </w:rPr>
        <w:t xml:space="preserve">, která </w:t>
      </w:r>
      <w:r w:rsidR="00982951">
        <w:rPr>
          <w:rFonts w:ascii="Arial" w:hAnsi="Arial" w:cs="Arial"/>
          <w:sz w:val="20"/>
          <w:szCs w:val="20"/>
        </w:rPr>
        <w:t xml:space="preserve">bude mít provozovatel </w:t>
      </w:r>
      <w:r w:rsidR="00D90A84" w:rsidRPr="00D90A84">
        <w:rPr>
          <w:rFonts w:ascii="Arial" w:hAnsi="Arial" w:cs="Arial"/>
          <w:sz w:val="20"/>
          <w:szCs w:val="20"/>
        </w:rPr>
        <w:t xml:space="preserve">k dispozici nejdříve </w:t>
      </w:r>
      <w:r w:rsidR="00D90A84" w:rsidRPr="00B778A3">
        <w:rPr>
          <w:rFonts w:ascii="Arial" w:hAnsi="Arial" w:cs="Arial"/>
          <w:sz w:val="20"/>
          <w:szCs w:val="20"/>
        </w:rPr>
        <w:t>24. dn</w:t>
      </w:r>
      <w:r w:rsidR="00982951" w:rsidRPr="00B778A3">
        <w:rPr>
          <w:rFonts w:ascii="Arial" w:hAnsi="Arial" w:cs="Arial"/>
          <w:sz w:val="20"/>
          <w:szCs w:val="20"/>
        </w:rPr>
        <w:t>e</w:t>
      </w:r>
      <w:r w:rsidR="00D90A84" w:rsidRPr="00B778A3">
        <w:rPr>
          <w:rFonts w:ascii="Arial" w:hAnsi="Arial" w:cs="Arial"/>
          <w:sz w:val="20"/>
          <w:szCs w:val="20"/>
        </w:rPr>
        <w:t xml:space="preserve"> měsíce</w:t>
      </w:r>
      <w:r w:rsidR="00982951" w:rsidRPr="00B778A3">
        <w:rPr>
          <w:rFonts w:ascii="Arial" w:hAnsi="Arial" w:cs="Arial"/>
          <w:sz w:val="20"/>
          <w:szCs w:val="20"/>
        </w:rPr>
        <w:t xml:space="preserve"> následujícího po měsíci</w:t>
      </w:r>
      <w:r w:rsidR="00D90A84" w:rsidRPr="00D90A84">
        <w:rPr>
          <w:rFonts w:ascii="Arial" w:hAnsi="Arial" w:cs="Arial"/>
          <w:sz w:val="20"/>
          <w:szCs w:val="20"/>
        </w:rPr>
        <w:t xml:space="preserve">, </w:t>
      </w:r>
      <w:r w:rsidR="00C83DFE">
        <w:rPr>
          <w:rFonts w:ascii="Arial" w:hAnsi="Arial" w:cs="Arial"/>
          <w:sz w:val="20"/>
          <w:szCs w:val="20"/>
        </w:rPr>
        <w:t>v němž</w:t>
      </w:r>
      <w:r w:rsidR="00D90A84" w:rsidRPr="00D90A84">
        <w:rPr>
          <w:rFonts w:ascii="Arial" w:hAnsi="Arial" w:cs="Arial"/>
          <w:sz w:val="20"/>
          <w:szCs w:val="20"/>
        </w:rPr>
        <w:t xml:space="preserve"> </w:t>
      </w:r>
      <w:r w:rsidR="00982951">
        <w:rPr>
          <w:rFonts w:ascii="Arial" w:hAnsi="Arial" w:cs="Arial"/>
          <w:sz w:val="20"/>
          <w:szCs w:val="20"/>
        </w:rPr>
        <w:t xml:space="preserve">provozovatel poskytoval dopravci </w:t>
      </w:r>
      <w:r w:rsidR="00C83DFE">
        <w:rPr>
          <w:rFonts w:ascii="Arial" w:hAnsi="Arial" w:cs="Arial"/>
          <w:sz w:val="20"/>
          <w:szCs w:val="20"/>
        </w:rPr>
        <w:t>službu dodávek</w:t>
      </w:r>
      <w:r w:rsidR="00982951">
        <w:rPr>
          <w:rFonts w:ascii="Arial" w:hAnsi="Arial" w:cs="Arial"/>
          <w:sz w:val="20"/>
          <w:szCs w:val="20"/>
        </w:rPr>
        <w:t>.</w:t>
      </w:r>
      <w:r w:rsidR="00AD728A" w:rsidRPr="005678E1">
        <w:rPr>
          <w:rFonts w:ascii="Arial" w:hAnsi="Arial" w:cs="Arial"/>
          <w:sz w:val="20"/>
          <w:szCs w:val="20"/>
        </w:rPr>
        <w:t xml:space="preserve"> </w:t>
      </w:r>
    </w:p>
    <w:p w14:paraId="2C21DBE0" w14:textId="67500370" w:rsidR="00F975EA" w:rsidRDefault="00982951" w:rsidP="00B778A3">
      <w:pPr>
        <w:spacing w:after="120"/>
        <w:ind w:left="397" w:hanging="394"/>
        <w:jc w:val="both"/>
        <w:rPr>
          <w:rFonts w:ascii="Arial" w:hAnsi="Arial" w:cs="Arial"/>
          <w:sz w:val="20"/>
          <w:szCs w:val="20"/>
        </w:rPr>
      </w:pPr>
      <w:r>
        <w:rPr>
          <w:rFonts w:ascii="Arial" w:hAnsi="Arial" w:cs="Arial"/>
          <w:sz w:val="20"/>
          <w:szCs w:val="20"/>
        </w:rPr>
        <w:t>7</w:t>
      </w:r>
      <w:r w:rsidR="005678E1">
        <w:rPr>
          <w:rFonts w:ascii="Arial" w:hAnsi="Arial" w:cs="Arial"/>
          <w:sz w:val="20"/>
          <w:szCs w:val="20"/>
        </w:rPr>
        <w:t>.</w:t>
      </w:r>
      <w:r w:rsidR="005678E1">
        <w:rPr>
          <w:rFonts w:ascii="Arial" w:hAnsi="Arial" w:cs="Arial"/>
          <w:sz w:val="20"/>
          <w:szCs w:val="20"/>
        </w:rPr>
        <w:tab/>
      </w:r>
      <w:r w:rsidR="00FB2068" w:rsidRPr="00BC3B0C">
        <w:rPr>
          <w:rFonts w:ascii="Arial" w:hAnsi="Arial" w:cs="Arial"/>
          <w:sz w:val="20"/>
          <w:szCs w:val="20"/>
        </w:rPr>
        <w:tab/>
        <w:t>Faktur</w:t>
      </w:r>
      <w:r w:rsidR="00AD728A">
        <w:rPr>
          <w:rFonts w:ascii="Arial" w:hAnsi="Arial" w:cs="Arial"/>
          <w:sz w:val="20"/>
          <w:szCs w:val="20"/>
        </w:rPr>
        <w:t>a</w:t>
      </w:r>
      <w:r w:rsidR="00FB2068" w:rsidRPr="00BC3B0C">
        <w:rPr>
          <w:rFonts w:ascii="Arial" w:hAnsi="Arial" w:cs="Arial"/>
          <w:sz w:val="20"/>
          <w:szCs w:val="20"/>
        </w:rPr>
        <w:t xml:space="preserve"> </w:t>
      </w:r>
      <w:r w:rsidR="00F975EA">
        <w:rPr>
          <w:rFonts w:ascii="Arial" w:hAnsi="Arial" w:cs="Arial"/>
          <w:sz w:val="20"/>
          <w:szCs w:val="20"/>
        </w:rPr>
        <w:t>na cenu za službu dodávek</w:t>
      </w:r>
      <w:r w:rsidR="00AD728A">
        <w:rPr>
          <w:rFonts w:ascii="Arial" w:hAnsi="Arial" w:cs="Arial"/>
          <w:sz w:val="20"/>
          <w:szCs w:val="20"/>
        </w:rPr>
        <w:t xml:space="preserve"> </w:t>
      </w:r>
      <w:r w:rsidR="00FB2068" w:rsidRPr="00BC3B0C">
        <w:rPr>
          <w:rFonts w:ascii="Arial" w:hAnsi="Arial" w:cs="Arial"/>
          <w:sz w:val="20"/>
          <w:szCs w:val="20"/>
        </w:rPr>
        <w:t xml:space="preserve">musí obsahovat náležitosti daňového dokladu </w:t>
      </w:r>
      <w:r w:rsidR="00EA3707" w:rsidRPr="00BC3B0C">
        <w:rPr>
          <w:rFonts w:ascii="Arial" w:hAnsi="Arial" w:cs="Arial"/>
          <w:sz w:val="20"/>
          <w:szCs w:val="20"/>
        </w:rPr>
        <w:t>stanoven</w:t>
      </w:r>
      <w:r w:rsidR="00EA3707">
        <w:rPr>
          <w:rFonts w:ascii="Arial" w:hAnsi="Arial" w:cs="Arial"/>
          <w:sz w:val="20"/>
          <w:szCs w:val="20"/>
        </w:rPr>
        <w:t>é</w:t>
      </w:r>
      <w:r w:rsidR="00EA3707" w:rsidRPr="00BC3B0C">
        <w:rPr>
          <w:rFonts w:ascii="Arial" w:hAnsi="Arial" w:cs="Arial"/>
          <w:sz w:val="20"/>
          <w:szCs w:val="20"/>
        </w:rPr>
        <w:t xml:space="preserve"> </w:t>
      </w:r>
      <w:r w:rsidR="00FB2068" w:rsidRPr="00BC3B0C">
        <w:rPr>
          <w:rFonts w:ascii="Arial" w:hAnsi="Arial" w:cs="Arial"/>
          <w:sz w:val="20"/>
          <w:szCs w:val="20"/>
        </w:rPr>
        <w:t xml:space="preserve">právními předpisy. </w:t>
      </w:r>
      <w:r w:rsidR="00F975EA">
        <w:rPr>
          <w:rFonts w:ascii="Arial" w:hAnsi="Arial" w:cs="Arial"/>
          <w:sz w:val="20"/>
          <w:szCs w:val="20"/>
        </w:rPr>
        <w:t>Provozovatel ve faktuře na cenu za službu dodávek</w:t>
      </w:r>
      <w:r w:rsidR="00627242">
        <w:rPr>
          <w:rFonts w:ascii="Arial" w:hAnsi="Arial" w:cs="Arial"/>
          <w:sz w:val="20"/>
          <w:szCs w:val="20"/>
        </w:rPr>
        <w:t xml:space="preserve"> podle této smlouvy o dodávkách</w:t>
      </w:r>
      <w:r w:rsidR="00F975EA">
        <w:rPr>
          <w:rFonts w:ascii="Arial" w:hAnsi="Arial" w:cs="Arial"/>
          <w:sz w:val="20"/>
          <w:szCs w:val="20"/>
        </w:rPr>
        <w:t xml:space="preserve"> zúčtuje přijatou zálohovou platbu, kterou dopravce uhradil </w:t>
      </w:r>
      <w:r w:rsidR="00627242">
        <w:rPr>
          <w:rFonts w:ascii="Arial" w:hAnsi="Arial" w:cs="Arial"/>
          <w:sz w:val="20"/>
          <w:szCs w:val="20"/>
        </w:rPr>
        <w:t xml:space="preserve">provozovateli jako zálohu na cenu za službu dodávek </w:t>
      </w:r>
      <w:r w:rsidR="00F975EA">
        <w:rPr>
          <w:rFonts w:ascii="Arial" w:hAnsi="Arial" w:cs="Arial"/>
          <w:sz w:val="20"/>
          <w:szCs w:val="20"/>
        </w:rPr>
        <w:t>na příslušné fakturační období. F</w:t>
      </w:r>
      <w:r w:rsidR="001D7A6E" w:rsidRPr="00BC3B0C">
        <w:rPr>
          <w:rFonts w:ascii="Arial" w:hAnsi="Arial" w:cs="Arial"/>
          <w:sz w:val="20"/>
          <w:szCs w:val="20"/>
        </w:rPr>
        <w:t>aktur</w:t>
      </w:r>
      <w:r w:rsidR="00F975EA">
        <w:rPr>
          <w:rFonts w:ascii="Arial" w:hAnsi="Arial" w:cs="Arial"/>
          <w:sz w:val="20"/>
          <w:szCs w:val="20"/>
        </w:rPr>
        <w:t xml:space="preserve">a bude obsahovat </w:t>
      </w:r>
      <w:r w:rsidR="00FD1020">
        <w:rPr>
          <w:rFonts w:ascii="Arial" w:hAnsi="Arial" w:cs="Arial"/>
          <w:sz w:val="20"/>
          <w:szCs w:val="20"/>
        </w:rPr>
        <w:t>cen</w:t>
      </w:r>
      <w:r w:rsidR="00627242">
        <w:rPr>
          <w:rFonts w:ascii="Arial" w:hAnsi="Arial" w:cs="Arial"/>
          <w:sz w:val="20"/>
          <w:szCs w:val="20"/>
        </w:rPr>
        <w:t>u</w:t>
      </w:r>
      <w:r w:rsidR="00FD1020">
        <w:rPr>
          <w:rFonts w:ascii="Arial" w:hAnsi="Arial" w:cs="Arial"/>
          <w:sz w:val="20"/>
          <w:szCs w:val="20"/>
        </w:rPr>
        <w:t xml:space="preserve"> za službu dodávek </w:t>
      </w:r>
      <w:r w:rsidR="00627242">
        <w:rPr>
          <w:rFonts w:ascii="Arial" w:hAnsi="Arial" w:cs="Arial"/>
          <w:sz w:val="20"/>
          <w:szCs w:val="20"/>
        </w:rPr>
        <w:t xml:space="preserve">s rozpadem </w:t>
      </w:r>
      <w:r w:rsidR="00FD1020">
        <w:rPr>
          <w:rFonts w:ascii="Arial" w:hAnsi="Arial" w:cs="Arial"/>
          <w:sz w:val="20"/>
          <w:szCs w:val="20"/>
        </w:rPr>
        <w:t xml:space="preserve">na cenu za komoditu a na cenu za zajišťování dodávání komodity, a dále </w:t>
      </w:r>
      <w:r w:rsidR="00F975EA">
        <w:rPr>
          <w:rFonts w:ascii="Arial" w:hAnsi="Arial" w:cs="Arial"/>
          <w:sz w:val="20"/>
          <w:szCs w:val="20"/>
        </w:rPr>
        <w:t>přílohy</w:t>
      </w:r>
      <w:r w:rsidR="00FD1020">
        <w:rPr>
          <w:rFonts w:ascii="Arial" w:hAnsi="Arial" w:cs="Arial"/>
          <w:sz w:val="20"/>
          <w:szCs w:val="20"/>
        </w:rPr>
        <w:t>, které budou obsahovat</w:t>
      </w:r>
      <w:r w:rsidR="00F975EA">
        <w:rPr>
          <w:rFonts w:ascii="Arial" w:hAnsi="Arial" w:cs="Arial"/>
          <w:sz w:val="20"/>
          <w:szCs w:val="20"/>
        </w:rPr>
        <w:t>:</w:t>
      </w:r>
    </w:p>
    <w:p w14:paraId="56739F3A" w14:textId="6CB5500F" w:rsidR="0095729E" w:rsidRDefault="00F975EA" w:rsidP="00F975EA">
      <w:pPr>
        <w:spacing w:after="120"/>
        <w:ind w:left="851" w:hanging="284"/>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95729E">
        <w:rPr>
          <w:rFonts w:ascii="Arial" w:hAnsi="Arial" w:cs="Arial"/>
          <w:sz w:val="20"/>
          <w:szCs w:val="20"/>
        </w:rPr>
        <w:t>s</w:t>
      </w:r>
      <w:r>
        <w:rPr>
          <w:rFonts w:ascii="Arial" w:hAnsi="Arial" w:cs="Arial"/>
          <w:sz w:val="20"/>
          <w:szCs w:val="20"/>
        </w:rPr>
        <w:t>ouhrnný pře</w:t>
      </w:r>
      <w:r w:rsidR="0095729E">
        <w:rPr>
          <w:rFonts w:ascii="Arial" w:hAnsi="Arial" w:cs="Arial"/>
          <w:sz w:val="20"/>
          <w:szCs w:val="20"/>
        </w:rPr>
        <w:t>hled spotřeby trakční elektrické energie dopravcem dle typu vlaku a</w:t>
      </w:r>
    </w:p>
    <w:p w14:paraId="6F5A1268" w14:textId="55801D58" w:rsidR="00FB2068" w:rsidRPr="00BC3B0C" w:rsidRDefault="0095729E" w:rsidP="00646DC7">
      <w:pPr>
        <w:spacing w:after="120"/>
        <w:ind w:left="851" w:hanging="284"/>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detailní přehled spotřeby trakční elektrické energie dle EHV/EJ.</w:t>
      </w:r>
    </w:p>
    <w:p w14:paraId="7451F093" w14:textId="5B062681" w:rsidR="00982951" w:rsidRPr="00BC3B0C" w:rsidRDefault="00982951" w:rsidP="004B3CDA">
      <w:pPr>
        <w:spacing w:after="120"/>
        <w:ind w:left="426"/>
        <w:jc w:val="both"/>
        <w:rPr>
          <w:rFonts w:ascii="Arial" w:hAnsi="Arial" w:cs="Arial"/>
          <w:sz w:val="20"/>
          <w:szCs w:val="20"/>
        </w:rPr>
      </w:pPr>
      <w:r>
        <w:rPr>
          <w:rFonts w:ascii="Arial" w:hAnsi="Arial" w:cs="Arial"/>
          <w:sz w:val="20"/>
          <w:szCs w:val="20"/>
        </w:rPr>
        <w:t>Provozovatel doručí dopravci fakturu včetně jejích příloh tak, že mu ji zašle na emailovou adresu</w:t>
      </w:r>
      <w:r w:rsidR="004C25AD">
        <w:rPr>
          <w:rFonts w:ascii="Arial" w:hAnsi="Arial" w:cs="Arial"/>
          <w:sz w:val="20"/>
          <w:szCs w:val="20"/>
        </w:rPr>
        <w:t xml:space="preserve"> [</w:t>
      </w:r>
      <w:r w:rsidR="004C25AD" w:rsidRPr="004C25AD">
        <w:rPr>
          <w:rFonts w:ascii="Arial" w:hAnsi="Arial" w:cs="Arial"/>
          <w:sz w:val="20"/>
          <w:szCs w:val="20"/>
          <w:highlight w:val="yellow"/>
        </w:rPr>
        <w:t>bude doplněno</w:t>
      </w:r>
      <w:r w:rsidR="004C25AD">
        <w:rPr>
          <w:rFonts w:ascii="Arial" w:hAnsi="Arial" w:cs="Arial"/>
          <w:sz w:val="20"/>
          <w:szCs w:val="20"/>
        </w:rPr>
        <w:t>]</w:t>
      </w:r>
      <w:r>
        <w:rPr>
          <w:rFonts w:ascii="Arial" w:hAnsi="Arial" w:cs="Arial"/>
          <w:sz w:val="20"/>
          <w:szCs w:val="20"/>
        </w:rPr>
        <w:t>.</w:t>
      </w:r>
      <w:r w:rsidR="00C83DFE">
        <w:rPr>
          <w:rFonts w:ascii="Arial" w:hAnsi="Arial" w:cs="Arial"/>
          <w:sz w:val="20"/>
          <w:szCs w:val="20"/>
        </w:rPr>
        <w:t xml:space="preserve"> Pokud nebude z technických důvodů možné doručit přílohu faktury na emailovou adresu dopravce, uvede provozovatel v emailové zprávě odkaz na úložiště, kde bude taková příloha dopravci k dispozici.</w:t>
      </w:r>
    </w:p>
    <w:p w14:paraId="6D8112B8" w14:textId="03A0C43F" w:rsidR="002A7C7B" w:rsidRPr="00BC3B0C" w:rsidRDefault="00C610D8" w:rsidP="0033106B">
      <w:pPr>
        <w:spacing w:after="120"/>
        <w:ind w:left="397" w:hanging="397"/>
        <w:jc w:val="both"/>
        <w:rPr>
          <w:rFonts w:ascii="Arial" w:hAnsi="Arial" w:cs="Arial"/>
          <w:sz w:val="20"/>
          <w:szCs w:val="20"/>
        </w:rPr>
      </w:pPr>
      <w:r>
        <w:rPr>
          <w:rFonts w:ascii="Arial" w:hAnsi="Arial" w:cs="Arial"/>
          <w:sz w:val="20"/>
          <w:szCs w:val="20"/>
        </w:rPr>
        <w:t>8</w:t>
      </w:r>
      <w:r w:rsidR="00CE5738" w:rsidRPr="00BC3B0C">
        <w:rPr>
          <w:rFonts w:ascii="Arial" w:hAnsi="Arial" w:cs="Arial"/>
          <w:sz w:val="20"/>
          <w:szCs w:val="20"/>
        </w:rPr>
        <w:t>.</w:t>
      </w:r>
      <w:r w:rsidR="00CE5738" w:rsidRPr="00BC3B0C">
        <w:rPr>
          <w:rFonts w:ascii="Arial" w:hAnsi="Arial" w:cs="Arial"/>
          <w:sz w:val="20"/>
          <w:szCs w:val="20"/>
        </w:rPr>
        <w:tab/>
      </w:r>
      <w:r w:rsidR="000F51B5" w:rsidRPr="00BC3B0C">
        <w:rPr>
          <w:rFonts w:ascii="Arial" w:hAnsi="Arial" w:cs="Arial"/>
          <w:sz w:val="20"/>
          <w:szCs w:val="20"/>
        </w:rPr>
        <w:t xml:space="preserve">Splatnost </w:t>
      </w:r>
      <w:r w:rsidR="00FD1020">
        <w:rPr>
          <w:rFonts w:ascii="Arial" w:hAnsi="Arial" w:cs="Arial"/>
          <w:sz w:val="20"/>
          <w:szCs w:val="20"/>
        </w:rPr>
        <w:t>faktury na cenu za službu dodávky</w:t>
      </w:r>
      <w:r w:rsidR="00FD1020" w:rsidRPr="00BC3B0C">
        <w:rPr>
          <w:rFonts w:ascii="Arial" w:hAnsi="Arial" w:cs="Arial"/>
          <w:sz w:val="20"/>
          <w:szCs w:val="20"/>
        </w:rPr>
        <w:t xml:space="preserve"> </w:t>
      </w:r>
      <w:r w:rsidR="0053734C" w:rsidRPr="00BC3B0C">
        <w:rPr>
          <w:rFonts w:ascii="Arial" w:hAnsi="Arial" w:cs="Arial"/>
          <w:sz w:val="20"/>
          <w:szCs w:val="20"/>
        </w:rPr>
        <w:t xml:space="preserve">dle tohoto článku </w:t>
      </w:r>
      <w:r w:rsidR="000F51B5" w:rsidRPr="00BC3B0C">
        <w:rPr>
          <w:rFonts w:ascii="Arial" w:hAnsi="Arial" w:cs="Arial"/>
          <w:sz w:val="20"/>
          <w:szCs w:val="20"/>
        </w:rPr>
        <w:t xml:space="preserve">činí </w:t>
      </w:r>
      <w:r w:rsidR="002A7C7B" w:rsidRPr="00B778A3">
        <w:rPr>
          <w:rFonts w:ascii="Arial" w:hAnsi="Arial" w:cs="Arial"/>
          <w:sz w:val="20"/>
          <w:szCs w:val="20"/>
        </w:rPr>
        <w:t>třicet (</w:t>
      </w:r>
      <w:r w:rsidR="000F51B5" w:rsidRPr="00B778A3">
        <w:rPr>
          <w:rFonts w:ascii="Arial" w:hAnsi="Arial" w:cs="Arial"/>
          <w:sz w:val="20"/>
          <w:szCs w:val="20"/>
        </w:rPr>
        <w:t>30</w:t>
      </w:r>
      <w:r w:rsidR="002A7C7B" w:rsidRPr="00B778A3">
        <w:rPr>
          <w:rFonts w:ascii="Arial" w:hAnsi="Arial" w:cs="Arial"/>
          <w:sz w:val="20"/>
          <w:szCs w:val="20"/>
        </w:rPr>
        <w:t>)</w:t>
      </w:r>
      <w:r w:rsidR="000F51B5" w:rsidRPr="00B778A3">
        <w:rPr>
          <w:rFonts w:ascii="Arial" w:hAnsi="Arial" w:cs="Arial"/>
          <w:sz w:val="20"/>
          <w:szCs w:val="20"/>
        </w:rPr>
        <w:t xml:space="preserve"> </w:t>
      </w:r>
      <w:r w:rsidR="008B756D" w:rsidRPr="00B778A3">
        <w:rPr>
          <w:rFonts w:ascii="Arial" w:hAnsi="Arial" w:cs="Arial"/>
          <w:sz w:val="20"/>
          <w:szCs w:val="20"/>
        </w:rPr>
        <w:t>kalendářních</w:t>
      </w:r>
      <w:r w:rsidR="008B756D" w:rsidRPr="00BC3B0C">
        <w:rPr>
          <w:rFonts w:ascii="Arial" w:hAnsi="Arial" w:cs="Arial"/>
          <w:sz w:val="20"/>
          <w:szCs w:val="20"/>
        </w:rPr>
        <w:t xml:space="preserve"> </w:t>
      </w:r>
      <w:r w:rsidR="000F51B5" w:rsidRPr="00BC3B0C">
        <w:rPr>
          <w:rFonts w:ascii="Arial" w:hAnsi="Arial" w:cs="Arial"/>
          <w:sz w:val="20"/>
          <w:szCs w:val="20"/>
        </w:rPr>
        <w:t xml:space="preserve">dnů ode dne </w:t>
      </w:r>
      <w:r w:rsidR="009E60D7" w:rsidRPr="00BC3B0C">
        <w:rPr>
          <w:rFonts w:ascii="Arial" w:hAnsi="Arial" w:cs="Arial"/>
          <w:sz w:val="20"/>
          <w:szCs w:val="20"/>
        </w:rPr>
        <w:t>doručení</w:t>
      </w:r>
      <w:r w:rsidR="002A7C7B" w:rsidRPr="00BC3B0C">
        <w:rPr>
          <w:rFonts w:ascii="Arial" w:hAnsi="Arial" w:cs="Arial"/>
          <w:sz w:val="20"/>
          <w:szCs w:val="20"/>
        </w:rPr>
        <w:t xml:space="preserve"> </w:t>
      </w:r>
      <w:r w:rsidR="00D477F4">
        <w:rPr>
          <w:rFonts w:ascii="Arial" w:hAnsi="Arial" w:cs="Arial"/>
          <w:sz w:val="20"/>
          <w:szCs w:val="20"/>
        </w:rPr>
        <w:t xml:space="preserve">takové faktury </w:t>
      </w:r>
      <w:r w:rsidR="002A7C7B" w:rsidRPr="00BC3B0C">
        <w:rPr>
          <w:rFonts w:ascii="Arial" w:hAnsi="Arial" w:cs="Arial"/>
          <w:sz w:val="20"/>
          <w:szCs w:val="20"/>
        </w:rPr>
        <w:t>dopravci</w:t>
      </w:r>
      <w:r w:rsidR="000F51B5" w:rsidRPr="00BC3B0C">
        <w:rPr>
          <w:rFonts w:ascii="Arial" w:hAnsi="Arial" w:cs="Arial"/>
          <w:sz w:val="20"/>
          <w:szCs w:val="20"/>
        </w:rPr>
        <w:t>.</w:t>
      </w:r>
    </w:p>
    <w:p w14:paraId="0BB80F43" w14:textId="49954F39" w:rsidR="002A7C7B" w:rsidRPr="00BC3B0C" w:rsidRDefault="00C610D8" w:rsidP="002A7C7B">
      <w:pPr>
        <w:spacing w:after="120"/>
        <w:ind w:left="397" w:hanging="397"/>
        <w:jc w:val="both"/>
        <w:rPr>
          <w:rFonts w:ascii="Arial" w:hAnsi="Arial" w:cs="Arial"/>
          <w:sz w:val="20"/>
          <w:szCs w:val="20"/>
        </w:rPr>
      </w:pPr>
      <w:r>
        <w:rPr>
          <w:rFonts w:ascii="Arial" w:hAnsi="Arial" w:cs="Arial"/>
          <w:sz w:val="20"/>
          <w:szCs w:val="20"/>
        </w:rPr>
        <w:t>9</w:t>
      </w:r>
      <w:r w:rsidR="002A7C7B" w:rsidRPr="00BC3B0C">
        <w:rPr>
          <w:rFonts w:ascii="Arial" w:hAnsi="Arial" w:cs="Arial"/>
          <w:sz w:val="20"/>
          <w:szCs w:val="20"/>
        </w:rPr>
        <w:t>.</w:t>
      </w:r>
      <w:r w:rsidR="002A7C7B" w:rsidRPr="00BC3B0C">
        <w:rPr>
          <w:rFonts w:ascii="Arial" w:hAnsi="Arial" w:cs="Arial"/>
          <w:sz w:val="20"/>
          <w:szCs w:val="20"/>
        </w:rPr>
        <w:tab/>
        <w:t xml:space="preserve">Pokud faktura </w:t>
      </w:r>
      <w:r w:rsidR="004070A0">
        <w:rPr>
          <w:rFonts w:ascii="Arial" w:hAnsi="Arial" w:cs="Arial"/>
          <w:sz w:val="20"/>
          <w:szCs w:val="20"/>
        </w:rPr>
        <w:t xml:space="preserve">na cenu za službu dodávek </w:t>
      </w:r>
      <w:r w:rsidR="002A7C7B" w:rsidRPr="00BC3B0C">
        <w:rPr>
          <w:rFonts w:ascii="Arial" w:hAnsi="Arial" w:cs="Arial"/>
          <w:sz w:val="20"/>
          <w:szCs w:val="20"/>
        </w:rPr>
        <w:t xml:space="preserve">nebude obsahovat náležitosti </w:t>
      </w:r>
      <w:r w:rsidR="004070A0">
        <w:rPr>
          <w:rFonts w:ascii="Arial" w:hAnsi="Arial" w:cs="Arial"/>
          <w:sz w:val="20"/>
          <w:szCs w:val="20"/>
        </w:rPr>
        <w:t xml:space="preserve">stanovené právními předpisy, </w:t>
      </w:r>
      <w:r w:rsidR="002A7C7B" w:rsidRPr="00BC3B0C">
        <w:rPr>
          <w:rFonts w:ascii="Arial" w:hAnsi="Arial" w:cs="Arial"/>
          <w:sz w:val="20"/>
          <w:szCs w:val="20"/>
        </w:rPr>
        <w:t xml:space="preserve">je dopravce oprávněn takovou fakturu vrátit provozovateli k opravě či doplnění. Odesláním takové faktury provozovateli zaniká povinnost dopravce danou fakturu uhradit. Provozovatel vrácenou fakturu opraví či doplní tak, aby splňovala požadavky </w:t>
      </w:r>
      <w:r w:rsidR="004070A0">
        <w:rPr>
          <w:rFonts w:ascii="Arial" w:hAnsi="Arial" w:cs="Arial"/>
          <w:sz w:val="20"/>
          <w:szCs w:val="20"/>
        </w:rPr>
        <w:t>stanovené právními předpisy</w:t>
      </w:r>
      <w:r w:rsidR="002A7C7B" w:rsidRPr="00BC3B0C">
        <w:rPr>
          <w:rFonts w:ascii="Arial" w:hAnsi="Arial" w:cs="Arial"/>
          <w:sz w:val="20"/>
          <w:szCs w:val="20"/>
        </w:rPr>
        <w:t>, a takto opravenou či doplněnou fakturu odešle zpět dopravc</w:t>
      </w:r>
      <w:r w:rsidR="004070A0">
        <w:rPr>
          <w:rFonts w:ascii="Arial" w:hAnsi="Arial" w:cs="Arial"/>
          <w:sz w:val="20"/>
          <w:szCs w:val="20"/>
        </w:rPr>
        <w:t>i</w:t>
      </w:r>
      <w:r w:rsidR="002A7C7B" w:rsidRPr="00BC3B0C">
        <w:rPr>
          <w:rFonts w:ascii="Arial" w:hAnsi="Arial" w:cs="Arial"/>
          <w:sz w:val="20"/>
          <w:szCs w:val="20"/>
        </w:rPr>
        <w:t xml:space="preserve">. Dnem doručení řádně opravené či doplněné faktury splňující požadavky </w:t>
      </w:r>
      <w:r w:rsidR="004070A0">
        <w:rPr>
          <w:rFonts w:ascii="Arial" w:hAnsi="Arial" w:cs="Arial"/>
          <w:sz w:val="20"/>
          <w:szCs w:val="20"/>
        </w:rPr>
        <w:t xml:space="preserve">stanovené právními předpisy </w:t>
      </w:r>
      <w:r w:rsidR="002A7C7B" w:rsidRPr="00BC3B0C">
        <w:rPr>
          <w:rFonts w:ascii="Arial" w:hAnsi="Arial" w:cs="Arial"/>
          <w:sz w:val="20"/>
          <w:szCs w:val="20"/>
        </w:rPr>
        <w:t>počíná běžet nová lhůta její splatnosti dle předchozího bodu.</w:t>
      </w:r>
    </w:p>
    <w:p w14:paraId="2F2E3EE7" w14:textId="000D093D" w:rsidR="002A7C7B" w:rsidRPr="00BC3B0C" w:rsidRDefault="00C610D8" w:rsidP="002A7C7B">
      <w:pPr>
        <w:spacing w:after="120"/>
        <w:ind w:left="397" w:hanging="397"/>
        <w:jc w:val="both"/>
        <w:rPr>
          <w:rFonts w:ascii="Arial" w:hAnsi="Arial" w:cs="Arial"/>
          <w:sz w:val="20"/>
          <w:szCs w:val="20"/>
        </w:rPr>
      </w:pPr>
      <w:r>
        <w:rPr>
          <w:rFonts w:ascii="Arial" w:hAnsi="Arial" w:cs="Arial"/>
          <w:sz w:val="20"/>
          <w:szCs w:val="20"/>
        </w:rPr>
        <w:t>10</w:t>
      </w:r>
      <w:r w:rsidR="00A16A5D" w:rsidRPr="00BC3B0C">
        <w:rPr>
          <w:rFonts w:ascii="Arial" w:hAnsi="Arial" w:cs="Arial"/>
          <w:sz w:val="20"/>
          <w:szCs w:val="20"/>
        </w:rPr>
        <w:t>.</w:t>
      </w:r>
      <w:r w:rsidR="00A16A5D" w:rsidRPr="00BC3B0C">
        <w:rPr>
          <w:rFonts w:ascii="Arial" w:hAnsi="Arial" w:cs="Arial"/>
          <w:sz w:val="20"/>
          <w:szCs w:val="20"/>
        </w:rPr>
        <w:tab/>
      </w:r>
      <w:r w:rsidR="002A7C7B" w:rsidRPr="00BC3B0C">
        <w:rPr>
          <w:rFonts w:ascii="Arial" w:hAnsi="Arial" w:cs="Arial"/>
          <w:sz w:val="20"/>
          <w:szCs w:val="20"/>
        </w:rPr>
        <w:tab/>
        <w:t xml:space="preserve">Veškeré úhrady faktur a jiné platby peněžitých částek podle této smlouvy o dodávkách budou probíhat v korunách českých. Provozovatel je oprávněn přičíst k částce </w:t>
      </w:r>
      <w:r w:rsidR="000E3D3C">
        <w:rPr>
          <w:rFonts w:ascii="Arial" w:hAnsi="Arial" w:cs="Arial"/>
          <w:sz w:val="20"/>
          <w:szCs w:val="20"/>
        </w:rPr>
        <w:t xml:space="preserve">zálohové platby nebo k částce </w:t>
      </w:r>
      <w:r w:rsidR="002A7C7B" w:rsidRPr="00BC3B0C">
        <w:rPr>
          <w:rFonts w:ascii="Arial" w:hAnsi="Arial" w:cs="Arial"/>
          <w:sz w:val="20"/>
          <w:szCs w:val="20"/>
        </w:rPr>
        <w:t>fakturované dopravci na základě této smlouvy o dodávkách daň z přidané hodnoty ve výši podle právních předpisů účinných ke dni uskutečnění zdanitelného plnění</w:t>
      </w:r>
      <w:r w:rsidR="004070A0">
        <w:rPr>
          <w:rFonts w:ascii="Arial" w:hAnsi="Arial" w:cs="Arial"/>
          <w:sz w:val="20"/>
          <w:szCs w:val="20"/>
        </w:rPr>
        <w:t>, neuplatní-li se na dopravce režim přenesené daňové povinnosti ve smyslu příslušných právních předpisů</w:t>
      </w:r>
      <w:r w:rsidR="002A7C7B" w:rsidRPr="00BC3B0C">
        <w:rPr>
          <w:rFonts w:ascii="Arial" w:hAnsi="Arial" w:cs="Arial"/>
          <w:sz w:val="20"/>
          <w:szCs w:val="20"/>
        </w:rPr>
        <w:t>.</w:t>
      </w:r>
    </w:p>
    <w:p w14:paraId="1C2FFB49" w14:textId="0F28203C" w:rsidR="00A16A5D" w:rsidRPr="00BC3B0C" w:rsidRDefault="004070A0" w:rsidP="0040045E">
      <w:pPr>
        <w:spacing w:after="120"/>
        <w:ind w:left="397" w:hanging="397"/>
        <w:jc w:val="both"/>
        <w:rPr>
          <w:rFonts w:ascii="Arial" w:hAnsi="Arial" w:cs="Arial"/>
          <w:sz w:val="20"/>
          <w:szCs w:val="20"/>
        </w:rPr>
      </w:pPr>
      <w:r>
        <w:rPr>
          <w:rFonts w:ascii="Arial" w:hAnsi="Arial" w:cs="Arial"/>
          <w:sz w:val="20"/>
          <w:szCs w:val="20"/>
        </w:rPr>
        <w:t>1</w:t>
      </w:r>
      <w:r w:rsidR="00C610D8">
        <w:rPr>
          <w:rFonts w:ascii="Arial" w:hAnsi="Arial" w:cs="Arial"/>
          <w:sz w:val="20"/>
          <w:szCs w:val="20"/>
        </w:rPr>
        <w:t>1</w:t>
      </w:r>
      <w:r w:rsidR="0040045E" w:rsidRPr="00BC3B0C">
        <w:rPr>
          <w:rFonts w:ascii="Arial" w:hAnsi="Arial" w:cs="Arial"/>
          <w:sz w:val="20"/>
          <w:szCs w:val="20"/>
        </w:rPr>
        <w:t>.</w:t>
      </w:r>
      <w:r w:rsidR="0040045E" w:rsidRPr="00BC3B0C">
        <w:rPr>
          <w:rFonts w:ascii="Arial" w:hAnsi="Arial" w:cs="Arial"/>
          <w:sz w:val="20"/>
          <w:szCs w:val="20"/>
        </w:rPr>
        <w:tab/>
      </w:r>
      <w:r w:rsidR="00A16A5D" w:rsidRPr="00BC3B0C">
        <w:rPr>
          <w:rFonts w:ascii="Arial" w:hAnsi="Arial" w:cs="Arial"/>
          <w:sz w:val="20"/>
          <w:szCs w:val="20"/>
        </w:rPr>
        <w:t>Smluvní strany se zavazují poskytovat si vzájemně potřebné podklady a informace pro řádné a včasné plnění závazků vyplývajících z této smlouvy</w:t>
      </w:r>
      <w:r w:rsidR="002A7C7B" w:rsidRPr="00BC3B0C">
        <w:rPr>
          <w:rFonts w:ascii="Arial" w:hAnsi="Arial" w:cs="Arial"/>
          <w:sz w:val="20"/>
          <w:szCs w:val="20"/>
        </w:rPr>
        <w:t xml:space="preserve"> o dodávkách</w:t>
      </w:r>
      <w:r w:rsidR="00A16A5D" w:rsidRPr="00BC3B0C">
        <w:rPr>
          <w:rFonts w:ascii="Arial" w:hAnsi="Arial" w:cs="Arial"/>
          <w:sz w:val="20"/>
          <w:szCs w:val="20"/>
        </w:rPr>
        <w:t>.</w:t>
      </w:r>
      <w:r w:rsidR="0040045E" w:rsidRPr="00BC3B0C">
        <w:rPr>
          <w:rFonts w:ascii="Arial" w:hAnsi="Arial" w:cs="Arial"/>
          <w:sz w:val="20"/>
          <w:szCs w:val="20"/>
        </w:rPr>
        <w:t xml:space="preserve"> </w:t>
      </w:r>
      <w:r w:rsidR="00A16A5D" w:rsidRPr="00BC3B0C">
        <w:rPr>
          <w:rFonts w:ascii="Arial" w:hAnsi="Arial" w:cs="Arial"/>
          <w:sz w:val="20"/>
          <w:szCs w:val="20"/>
        </w:rPr>
        <w:t>Žádná ze smluvních stran není oprávněna provést úhradu faktur podle tohoto článku formou jednostranného zápočtu.</w:t>
      </w:r>
    </w:p>
    <w:p w14:paraId="77C7F16A" w14:textId="77777777" w:rsidR="00190013" w:rsidRPr="002377E0" w:rsidRDefault="00EF52FD" w:rsidP="009543B9">
      <w:pPr>
        <w:keepNext/>
        <w:spacing w:before="480" w:after="240"/>
        <w:jc w:val="center"/>
        <w:rPr>
          <w:rFonts w:ascii="Arial" w:hAnsi="Arial" w:cs="Arial"/>
          <w:b/>
          <w:sz w:val="20"/>
          <w:szCs w:val="20"/>
        </w:rPr>
      </w:pPr>
      <w:r w:rsidRPr="002377E0">
        <w:rPr>
          <w:rFonts w:ascii="Arial" w:hAnsi="Arial" w:cs="Arial"/>
          <w:b/>
          <w:spacing w:val="60"/>
          <w:sz w:val="20"/>
          <w:szCs w:val="20"/>
        </w:rPr>
        <w:lastRenderedPageBreak/>
        <w:t>Kapitola</w:t>
      </w:r>
      <w:r w:rsidR="009D0650" w:rsidRPr="002377E0">
        <w:rPr>
          <w:rFonts w:ascii="Arial" w:hAnsi="Arial" w:cs="Arial"/>
          <w:b/>
          <w:spacing w:val="60"/>
          <w:sz w:val="20"/>
          <w:szCs w:val="20"/>
        </w:rPr>
        <w:t xml:space="preserve"> II</w:t>
      </w:r>
      <w:r w:rsidR="004D7DA1" w:rsidRPr="002377E0">
        <w:rPr>
          <w:rFonts w:ascii="Arial" w:hAnsi="Arial" w:cs="Arial"/>
          <w:b/>
          <w:spacing w:val="60"/>
          <w:sz w:val="20"/>
          <w:szCs w:val="20"/>
        </w:rPr>
        <w:br/>
      </w:r>
      <w:r w:rsidR="009D0650" w:rsidRPr="002377E0">
        <w:rPr>
          <w:rFonts w:ascii="Arial" w:hAnsi="Arial" w:cs="Arial"/>
          <w:b/>
          <w:sz w:val="20"/>
          <w:szCs w:val="20"/>
        </w:rPr>
        <w:t>Další ujednání</w:t>
      </w:r>
    </w:p>
    <w:p w14:paraId="4C855DCD" w14:textId="55AA6A54" w:rsidR="00C04C09" w:rsidRPr="002377E0" w:rsidRDefault="00EF52FD" w:rsidP="009543B9">
      <w:pPr>
        <w:keepNext/>
        <w:spacing w:before="480" w:after="240"/>
        <w:jc w:val="center"/>
        <w:rPr>
          <w:rFonts w:ascii="Arial" w:hAnsi="Arial" w:cs="Arial"/>
          <w:b/>
          <w:sz w:val="20"/>
          <w:szCs w:val="20"/>
        </w:rPr>
      </w:pPr>
      <w:r w:rsidRPr="002377E0">
        <w:rPr>
          <w:rFonts w:ascii="Arial" w:hAnsi="Arial" w:cs="Arial"/>
          <w:b/>
          <w:spacing w:val="60"/>
          <w:sz w:val="20"/>
          <w:szCs w:val="20"/>
        </w:rPr>
        <w:t>Článe</w:t>
      </w:r>
      <w:r w:rsidR="00C04C09" w:rsidRPr="002377E0">
        <w:rPr>
          <w:rFonts w:ascii="Arial" w:hAnsi="Arial" w:cs="Arial"/>
          <w:b/>
          <w:spacing w:val="60"/>
          <w:sz w:val="20"/>
          <w:szCs w:val="20"/>
        </w:rPr>
        <w:t>k</w:t>
      </w:r>
      <w:r w:rsidRPr="002377E0">
        <w:rPr>
          <w:rFonts w:ascii="Arial" w:hAnsi="Arial" w:cs="Arial"/>
          <w:b/>
          <w:spacing w:val="60"/>
          <w:sz w:val="20"/>
          <w:szCs w:val="20"/>
        </w:rPr>
        <w:t xml:space="preserve"> </w:t>
      </w:r>
      <w:r w:rsidR="00F12A71">
        <w:rPr>
          <w:rFonts w:ascii="Arial" w:hAnsi="Arial" w:cs="Arial"/>
          <w:b/>
          <w:spacing w:val="60"/>
          <w:sz w:val="20"/>
          <w:szCs w:val="20"/>
        </w:rPr>
        <w:t>8</w:t>
      </w:r>
      <w:r w:rsidR="004D7DA1" w:rsidRPr="002377E0">
        <w:rPr>
          <w:rFonts w:ascii="Arial" w:hAnsi="Arial" w:cs="Arial"/>
          <w:b/>
          <w:spacing w:val="60"/>
          <w:sz w:val="20"/>
          <w:szCs w:val="20"/>
        </w:rPr>
        <w:br/>
      </w:r>
      <w:r w:rsidR="00C04C09" w:rsidRPr="002377E0">
        <w:rPr>
          <w:rFonts w:ascii="Arial" w:hAnsi="Arial" w:cs="Arial"/>
          <w:b/>
          <w:sz w:val="20"/>
          <w:szCs w:val="20"/>
        </w:rPr>
        <w:t>Odpovědnost za škod</w:t>
      </w:r>
      <w:r w:rsidR="00C92290" w:rsidRPr="002377E0">
        <w:rPr>
          <w:rFonts w:ascii="Arial" w:hAnsi="Arial" w:cs="Arial"/>
          <w:b/>
          <w:sz w:val="20"/>
          <w:szCs w:val="20"/>
        </w:rPr>
        <w:t xml:space="preserve">u </w:t>
      </w:r>
    </w:p>
    <w:p w14:paraId="336C69B3" w14:textId="77777777" w:rsidR="00BA3486" w:rsidRPr="00BC3B0C" w:rsidRDefault="00BA3486" w:rsidP="00541C2F">
      <w:pPr>
        <w:spacing w:after="120"/>
        <w:ind w:left="397" w:hanging="397"/>
        <w:jc w:val="both"/>
        <w:rPr>
          <w:rFonts w:ascii="Arial" w:hAnsi="Arial" w:cs="Arial"/>
          <w:sz w:val="20"/>
          <w:szCs w:val="20"/>
        </w:rPr>
      </w:pPr>
      <w:r w:rsidRPr="00BC3B0C">
        <w:rPr>
          <w:rFonts w:ascii="Arial" w:hAnsi="Arial" w:cs="Arial"/>
          <w:sz w:val="20"/>
          <w:szCs w:val="20"/>
        </w:rPr>
        <w:t>1.</w:t>
      </w:r>
      <w:r w:rsidRPr="00BC3B0C">
        <w:rPr>
          <w:rFonts w:ascii="Arial" w:hAnsi="Arial" w:cs="Arial"/>
          <w:sz w:val="20"/>
          <w:szCs w:val="20"/>
        </w:rPr>
        <w:tab/>
        <w:t>Smluvní strany se zavazují poskytnout si</w:t>
      </w:r>
      <w:r w:rsidR="006F20B1" w:rsidRPr="00BC3B0C">
        <w:rPr>
          <w:rFonts w:ascii="Arial" w:hAnsi="Arial" w:cs="Arial"/>
          <w:sz w:val="20"/>
          <w:szCs w:val="20"/>
        </w:rPr>
        <w:t> </w:t>
      </w:r>
      <w:r w:rsidR="00C92290" w:rsidRPr="00BC3B0C">
        <w:rPr>
          <w:rFonts w:ascii="Arial" w:hAnsi="Arial" w:cs="Arial"/>
          <w:sz w:val="20"/>
          <w:szCs w:val="20"/>
        </w:rPr>
        <w:t xml:space="preserve">v souvislosti s plněním této smlouvy o dodávkách </w:t>
      </w:r>
      <w:r w:rsidRPr="00BC3B0C">
        <w:rPr>
          <w:rFonts w:ascii="Arial" w:hAnsi="Arial" w:cs="Arial"/>
          <w:sz w:val="20"/>
          <w:szCs w:val="20"/>
        </w:rPr>
        <w:t>vzájemně potřebnou součinnost.</w:t>
      </w:r>
    </w:p>
    <w:p w14:paraId="543CFFC9" w14:textId="371B9A1F" w:rsidR="00281EB7" w:rsidRDefault="00C92290" w:rsidP="00186A53">
      <w:pPr>
        <w:spacing w:after="120"/>
        <w:ind w:left="397" w:hanging="397"/>
        <w:jc w:val="both"/>
        <w:rPr>
          <w:rFonts w:ascii="Arial" w:hAnsi="Arial" w:cs="Arial"/>
          <w:sz w:val="20"/>
          <w:szCs w:val="20"/>
        </w:rPr>
      </w:pPr>
      <w:r w:rsidRPr="00BC3B0C">
        <w:rPr>
          <w:rFonts w:ascii="Arial" w:hAnsi="Arial" w:cs="Arial"/>
          <w:sz w:val="20"/>
          <w:szCs w:val="20"/>
        </w:rPr>
        <w:t>2</w:t>
      </w:r>
      <w:r w:rsidR="000B0550" w:rsidRPr="00BC3B0C">
        <w:rPr>
          <w:rFonts w:ascii="Arial" w:hAnsi="Arial" w:cs="Arial"/>
          <w:sz w:val="20"/>
          <w:szCs w:val="20"/>
        </w:rPr>
        <w:t>.</w:t>
      </w:r>
      <w:r w:rsidR="00C04C09" w:rsidRPr="00BC3B0C">
        <w:rPr>
          <w:rFonts w:ascii="Arial" w:hAnsi="Arial" w:cs="Arial"/>
          <w:sz w:val="20"/>
          <w:szCs w:val="20"/>
        </w:rPr>
        <w:tab/>
      </w:r>
      <w:r w:rsidRPr="00BC3B0C">
        <w:rPr>
          <w:rFonts w:ascii="Arial" w:hAnsi="Arial" w:cs="Arial"/>
          <w:sz w:val="20"/>
          <w:szCs w:val="20"/>
        </w:rPr>
        <w:t xml:space="preserve">Provozovatel neodpovídá za </w:t>
      </w:r>
      <w:r w:rsidR="004D7CB0" w:rsidRPr="00BC3B0C">
        <w:rPr>
          <w:rFonts w:ascii="Arial" w:hAnsi="Arial" w:cs="Arial"/>
          <w:sz w:val="20"/>
          <w:szCs w:val="20"/>
        </w:rPr>
        <w:t>přerušení</w:t>
      </w:r>
      <w:r w:rsidRPr="00BC3B0C">
        <w:rPr>
          <w:rFonts w:ascii="Arial" w:hAnsi="Arial" w:cs="Arial"/>
          <w:sz w:val="20"/>
          <w:szCs w:val="20"/>
        </w:rPr>
        <w:t xml:space="preserve"> </w:t>
      </w:r>
      <w:r w:rsidR="00281EB7">
        <w:rPr>
          <w:rFonts w:ascii="Arial" w:hAnsi="Arial" w:cs="Arial"/>
          <w:sz w:val="20"/>
          <w:szCs w:val="20"/>
        </w:rPr>
        <w:t>a</w:t>
      </w:r>
      <w:r w:rsidR="00281EB7" w:rsidRPr="00BC3B0C">
        <w:rPr>
          <w:rFonts w:ascii="Arial" w:hAnsi="Arial" w:cs="Arial"/>
          <w:sz w:val="20"/>
          <w:szCs w:val="20"/>
        </w:rPr>
        <w:t xml:space="preserve">nebo </w:t>
      </w:r>
      <w:r w:rsidR="00281EB7">
        <w:rPr>
          <w:rFonts w:ascii="Arial" w:hAnsi="Arial" w:cs="Arial"/>
          <w:sz w:val="20"/>
          <w:szCs w:val="20"/>
        </w:rPr>
        <w:t xml:space="preserve">omezení </w:t>
      </w:r>
      <w:r w:rsidRPr="00BC3B0C">
        <w:rPr>
          <w:rFonts w:ascii="Arial" w:hAnsi="Arial" w:cs="Arial"/>
          <w:sz w:val="20"/>
          <w:szCs w:val="20"/>
        </w:rPr>
        <w:t>dostupnosti služby dodávek podle této smlouvy o</w:t>
      </w:r>
      <w:r w:rsidR="001D4697">
        <w:rPr>
          <w:rFonts w:ascii="Arial" w:hAnsi="Arial" w:cs="Arial"/>
          <w:sz w:val="20"/>
          <w:szCs w:val="20"/>
        </w:rPr>
        <w:t> </w:t>
      </w:r>
      <w:r w:rsidRPr="00BC3B0C">
        <w:rPr>
          <w:rFonts w:ascii="Arial" w:hAnsi="Arial" w:cs="Arial"/>
          <w:sz w:val="20"/>
          <w:szCs w:val="20"/>
        </w:rPr>
        <w:t>dodávkách</w:t>
      </w:r>
      <w:r w:rsidR="00281EB7">
        <w:rPr>
          <w:rFonts w:ascii="Arial" w:hAnsi="Arial" w:cs="Arial"/>
          <w:sz w:val="20"/>
          <w:szCs w:val="20"/>
        </w:rPr>
        <w:t xml:space="preserve"> (dále jen „</w:t>
      </w:r>
      <w:r w:rsidR="00281EB7" w:rsidRPr="00281EB7">
        <w:rPr>
          <w:rFonts w:ascii="Arial" w:hAnsi="Arial" w:cs="Arial"/>
          <w:b/>
          <w:sz w:val="20"/>
          <w:szCs w:val="20"/>
        </w:rPr>
        <w:t>výluka</w:t>
      </w:r>
      <w:r w:rsidR="00281EB7">
        <w:rPr>
          <w:rFonts w:ascii="Arial" w:hAnsi="Arial" w:cs="Arial"/>
          <w:sz w:val="20"/>
          <w:szCs w:val="20"/>
        </w:rPr>
        <w:t xml:space="preserve">“), pokud </w:t>
      </w:r>
    </w:p>
    <w:p w14:paraId="55774479" w14:textId="0B3B295D" w:rsidR="00281EB7" w:rsidRDefault="00281EB7" w:rsidP="00281EB7">
      <w:pPr>
        <w:spacing w:after="120"/>
        <w:ind w:left="851" w:hanging="396"/>
        <w:jc w:val="both"/>
        <w:rPr>
          <w:rFonts w:ascii="Arial" w:hAnsi="Arial" w:cs="Arial"/>
          <w:sz w:val="20"/>
          <w:szCs w:val="20"/>
        </w:rPr>
      </w:pPr>
      <w:r>
        <w:rPr>
          <w:rFonts w:ascii="Arial" w:hAnsi="Arial" w:cs="Arial"/>
          <w:sz w:val="20"/>
          <w:szCs w:val="20"/>
        </w:rPr>
        <w:t>-</w:t>
      </w:r>
      <w:r w:rsidR="00C92290" w:rsidRPr="00BC3B0C">
        <w:rPr>
          <w:rFonts w:ascii="Arial" w:hAnsi="Arial" w:cs="Arial"/>
          <w:sz w:val="20"/>
          <w:szCs w:val="20"/>
        </w:rPr>
        <w:t xml:space="preserve"> </w:t>
      </w:r>
      <w:r>
        <w:rPr>
          <w:rFonts w:ascii="Arial" w:hAnsi="Arial" w:cs="Arial"/>
          <w:sz w:val="20"/>
          <w:szCs w:val="20"/>
        </w:rPr>
        <w:tab/>
        <w:t xml:space="preserve">výluku </w:t>
      </w:r>
      <w:r w:rsidR="00C92290" w:rsidRPr="00BC3B0C">
        <w:rPr>
          <w:rFonts w:ascii="Arial" w:hAnsi="Arial" w:cs="Arial"/>
          <w:sz w:val="20"/>
          <w:szCs w:val="20"/>
        </w:rPr>
        <w:t xml:space="preserve">způsobil příslušný </w:t>
      </w:r>
      <w:r w:rsidR="007B0284">
        <w:rPr>
          <w:rFonts w:ascii="Arial" w:hAnsi="Arial" w:cs="Arial"/>
          <w:sz w:val="20"/>
          <w:szCs w:val="20"/>
        </w:rPr>
        <w:t>provozovatel</w:t>
      </w:r>
      <w:r w:rsidR="00732947">
        <w:rPr>
          <w:rFonts w:ascii="Arial" w:hAnsi="Arial" w:cs="Arial"/>
          <w:sz w:val="20"/>
          <w:szCs w:val="20"/>
        </w:rPr>
        <w:t xml:space="preserve"> nadřazené distribuční soustavy</w:t>
      </w:r>
      <w:r>
        <w:rPr>
          <w:rFonts w:ascii="Arial" w:hAnsi="Arial" w:cs="Arial"/>
          <w:sz w:val="20"/>
          <w:szCs w:val="20"/>
        </w:rPr>
        <w:t xml:space="preserve"> nebo</w:t>
      </w:r>
      <w:r w:rsidR="001921C1">
        <w:rPr>
          <w:rFonts w:ascii="Arial" w:hAnsi="Arial" w:cs="Arial"/>
          <w:sz w:val="20"/>
          <w:szCs w:val="20"/>
        </w:rPr>
        <w:t xml:space="preserve"> jiná</w:t>
      </w:r>
      <w:r>
        <w:rPr>
          <w:rFonts w:ascii="Arial" w:hAnsi="Arial" w:cs="Arial"/>
          <w:sz w:val="20"/>
          <w:szCs w:val="20"/>
        </w:rPr>
        <w:t xml:space="preserve"> třetí osoba</w:t>
      </w:r>
      <w:r w:rsidR="00C92290" w:rsidRPr="00BC3B0C">
        <w:rPr>
          <w:rFonts w:ascii="Arial" w:hAnsi="Arial" w:cs="Arial"/>
          <w:sz w:val="20"/>
          <w:szCs w:val="20"/>
        </w:rPr>
        <w:t xml:space="preserve">, </w:t>
      </w:r>
    </w:p>
    <w:p w14:paraId="06D9146A" w14:textId="77AE7D65" w:rsidR="001921C1" w:rsidRDefault="00281EB7" w:rsidP="00281EB7">
      <w:pPr>
        <w:spacing w:after="120"/>
        <w:ind w:left="851" w:hanging="396"/>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1921C1">
        <w:rPr>
          <w:rFonts w:ascii="Arial" w:hAnsi="Arial" w:cs="Arial"/>
          <w:sz w:val="20"/>
          <w:szCs w:val="20"/>
        </w:rPr>
        <w:t xml:space="preserve">výluka byla způsobena </w:t>
      </w:r>
      <w:r w:rsidR="001921C1" w:rsidRPr="001921C1">
        <w:rPr>
          <w:rFonts w:ascii="Arial" w:hAnsi="Arial" w:cs="Arial"/>
          <w:sz w:val="20"/>
          <w:szCs w:val="20"/>
        </w:rPr>
        <w:t>mimořádn</w:t>
      </w:r>
      <w:r w:rsidR="001921C1">
        <w:rPr>
          <w:rFonts w:ascii="Arial" w:hAnsi="Arial" w:cs="Arial"/>
          <w:sz w:val="20"/>
          <w:szCs w:val="20"/>
        </w:rPr>
        <w:t>ou</w:t>
      </w:r>
      <w:r w:rsidR="001921C1" w:rsidRPr="001921C1">
        <w:rPr>
          <w:rFonts w:ascii="Arial" w:hAnsi="Arial" w:cs="Arial"/>
          <w:sz w:val="20"/>
          <w:szCs w:val="20"/>
        </w:rPr>
        <w:t xml:space="preserve"> nepředvídateln</w:t>
      </w:r>
      <w:r w:rsidR="001921C1">
        <w:rPr>
          <w:rFonts w:ascii="Arial" w:hAnsi="Arial" w:cs="Arial"/>
          <w:sz w:val="20"/>
          <w:szCs w:val="20"/>
        </w:rPr>
        <w:t>ou</w:t>
      </w:r>
      <w:r w:rsidR="001921C1" w:rsidRPr="001921C1">
        <w:rPr>
          <w:rFonts w:ascii="Arial" w:hAnsi="Arial" w:cs="Arial"/>
          <w:sz w:val="20"/>
          <w:szCs w:val="20"/>
        </w:rPr>
        <w:t xml:space="preserve"> a nepřekonateln</w:t>
      </w:r>
      <w:r w:rsidR="001921C1">
        <w:rPr>
          <w:rFonts w:ascii="Arial" w:hAnsi="Arial" w:cs="Arial"/>
          <w:sz w:val="20"/>
          <w:szCs w:val="20"/>
        </w:rPr>
        <w:t>ou</w:t>
      </w:r>
      <w:r w:rsidR="001921C1" w:rsidRPr="001921C1">
        <w:rPr>
          <w:rFonts w:ascii="Arial" w:hAnsi="Arial" w:cs="Arial"/>
          <w:sz w:val="20"/>
          <w:szCs w:val="20"/>
        </w:rPr>
        <w:t xml:space="preserve"> překážk</w:t>
      </w:r>
      <w:r w:rsidR="001921C1">
        <w:rPr>
          <w:rFonts w:ascii="Arial" w:hAnsi="Arial" w:cs="Arial"/>
          <w:sz w:val="20"/>
          <w:szCs w:val="20"/>
        </w:rPr>
        <w:t>ou</w:t>
      </w:r>
      <w:r w:rsidR="001921C1" w:rsidRPr="001921C1">
        <w:rPr>
          <w:rFonts w:ascii="Arial" w:hAnsi="Arial" w:cs="Arial"/>
          <w:sz w:val="20"/>
          <w:szCs w:val="20"/>
        </w:rPr>
        <w:t xml:space="preserve"> vznikl</w:t>
      </w:r>
      <w:r w:rsidR="001921C1">
        <w:rPr>
          <w:rFonts w:ascii="Arial" w:hAnsi="Arial" w:cs="Arial"/>
          <w:sz w:val="20"/>
          <w:szCs w:val="20"/>
        </w:rPr>
        <w:t>ou</w:t>
      </w:r>
      <w:r w:rsidR="001921C1" w:rsidRPr="001921C1">
        <w:rPr>
          <w:rFonts w:ascii="Arial" w:hAnsi="Arial" w:cs="Arial"/>
          <w:sz w:val="20"/>
          <w:szCs w:val="20"/>
        </w:rPr>
        <w:t xml:space="preserve"> nezávisl</w:t>
      </w:r>
      <w:r w:rsidR="001921C1">
        <w:rPr>
          <w:rFonts w:ascii="Arial" w:hAnsi="Arial" w:cs="Arial"/>
          <w:sz w:val="20"/>
          <w:szCs w:val="20"/>
        </w:rPr>
        <w:t>e</w:t>
      </w:r>
      <w:r w:rsidR="001921C1" w:rsidRPr="001921C1">
        <w:rPr>
          <w:rFonts w:ascii="Arial" w:hAnsi="Arial" w:cs="Arial"/>
          <w:sz w:val="20"/>
          <w:szCs w:val="20"/>
        </w:rPr>
        <w:t xml:space="preserve"> na vůli</w:t>
      </w:r>
      <w:r w:rsidR="001921C1">
        <w:rPr>
          <w:rFonts w:ascii="Arial" w:hAnsi="Arial" w:cs="Arial"/>
          <w:sz w:val="20"/>
          <w:szCs w:val="20"/>
        </w:rPr>
        <w:t xml:space="preserve"> provozovatele; smluvní strany za tuto překážku považují zejména živelnou událost, </w:t>
      </w:r>
      <w:r w:rsidR="001921C1" w:rsidRPr="001921C1">
        <w:rPr>
          <w:rFonts w:ascii="Arial" w:hAnsi="Arial" w:cs="Arial"/>
          <w:sz w:val="20"/>
          <w:szCs w:val="20"/>
        </w:rPr>
        <w:t>opatření státních orgánů za nouzového stavu, stavu ohrožení státu nebo válečného stavu</w:t>
      </w:r>
      <w:r w:rsidR="001921C1">
        <w:rPr>
          <w:rFonts w:ascii="Arial" w:hAnsi="Arial" w:cs="Arial"/>
          <w:sz w:val="20"/>
          <w:szCs w:val="20"/>
        </w:rPr>
        <w:t xml:space="preserve">, </w:t>
      </w:r>
      <w:r w:rsidR="001921C1" w:rsidRPr="001921C1">
        <w:rPr>
          <w:rFonts w:ascii="Arial" w:hAnsi="Arial" w:cs="Arial"/>
          <w:sz w:val="20"/>
          <w:szCs w:val="20"/>
        </w:rPr>
        <w:t>havári</w:t>
      </w:r>
      <w:r w:rsidR="001921C1">
        <w:rPr>
          <w:rFonts w:ascii="Arial" w:hAnsi="Arial" w:cs="Arial"/>
          <w:sz w:val="20"/>
          <w:szCs w:val="20"/>
        </w:rPr>
        <w:t>i</w:t>
      </w:r>
      <w:r w:rsidR="001921C1" w:rsidRPr="001921C1">
        <w:rPr>
          <w:rFonts w:ascii="Arial" w:hAnsi="Arial" w:cs="Arial"/>
          <w:sz w:val="20"/>
          <w:szCs w:val="20"/>
        </w:rPr>
        <w:t xml:space="preserve"> nebo kumulac</w:t>
      </w:r>
      <w:r w:rsidR="001921C1">
        <w:rPr>
          <w:rFonts w:ascii="Arial" w:hAnsi="Arial" w:cs="Arial"/>
          <w:sz w:val="20"/>
          <w:szCs w:val="20"/>
        </w:rPr>
        <w:t>i</w:t>
      </w:r>
      <w:r w:rsidR="001921C1" w:rsidRPr="001921C1">
        <w:rPr>
          <w:rFonts w:ascii="Arial" w:hAnsi="Arial" w:cs="Arial"/>
          <w:sz w:val="20"/>
          <w:szCs w:val="20"/>
        </w:rPr>
        <w:t xml:space="preserve"> poruch na zařízeních </w:t>
      </w:r>
      <w:r w:rsidR="001921C1">
        <w:rPr>
          <w:rFonts w:ascii="Arial" w:hAnsi="Arial" w:cs="Arial"/>
          <w:sz w:val="20"/>
          <w:szCs w:val="20"/>
        </w:rPr>
        <w:t xml:space="preserve">zajišťujících dodávání trakční elektrické energie, smogovou situaci dle příslušných právních předpisů, teroristický čin, nevyrovnanou bilanci nadřazené elektrizační soustavy nebo její části, přenos poruchy ze zahraniční elektrizační soustavy anebo ohrožení života, zdraví či majetku osob, a tato překážka </w:t>
      </w:r>
      <w:r w:rsidR="001921C1" w:rsidRPr="001921C1">
        <w:rPr>
          <w:rFonts w:ascii="Arial" w:hAnsi="Arial" w:cs="Arial"/>
          <w:sz w:val="20"/>
          <w:szCs w:val="20"/>
        </w:rPr>
        <w:t xml:space="preserve">způsobuje významný a náhlý nedostatek </w:t>
      </w:r>
      <w:r w:rsidR="001921C1">
        <w:rPr>
          <w:rFonts w:ascii="Arial" w:hAnsi="Arial" w:cs="Arial"/>
          <w:sz w:val="20"/>
          <w:szCs w:val="20"/>
        </w:rPr>
        <w:t xml:space="preserve">trakční elektrické energie </w:t>
      </w:r>
      <w:r w:rsidR="001921C1" w:rsidRPr="001921C1">
        <w:rPr>
          <w:rFonts w:ascii="Arial" w:hAnsi="Arial" w:cs="Arial"/>
          <w:sz w:val="20"/>
          <w:szCs w:val="20"/>
        </w:rPr>
        <w:t xml:space="preserve">nebo ohrožení celistvosti </w:t>
      </w:r>
      <w:r w:rsidR="001921C1">
        <w:rPr>
          <w:rFonts w:ascii="Arial" w:hAnsi="Arial" w:cs="Arial"/>
          <w:sz w:val="20"/>
          <w:szCs w:val="20"/>
        </w:rPr>
        <w:t>trakční napájecí soustavy</w:t>
      </w:r>
      <w:r w:rsidR="001921C1" w:rsidRPr="001921C1">
        <w:rPr>
          <w:rFonts w:ascii="Arial" w:hAnsi="Arial" w:cs="Arial"/>
          <w:sz w:val="20"/>
          <w:szCs w:val="20"/>
        </w:rPr>
        <w:t xml:space="preserve">, její bezpečnosti </w:t>
      </w:r>
      <w:r w:rsidR="00AB4298">
        <w:rPr>
          <w:rFonts w:ascii="Arial" w:hAnsi="Arial" w:cs="Arial"/>
          <w:sz w:val="20"/>
          <w:szCs w:val="20"/>
        </w:rPr>
        <w:t>nebo</w:t>
      </w:r>
      <w:r w:rsidR="001921C1" w:rsidRPr="001921C1">
        <w:rPr>
          <w:rFonts w:ascii="Arial" w:hAnsi="Arial" w:cs="Arial"/>
          <w:sz w:val="20"/>
          <w:szCs w:val="20"/>
        </w:rPr>
        <w:t xml:space="preserve"> spolehlivosti </w:t>
      </w:r>
      <w:r w:rsidR="00AB4298">
        <w:rPr>
          <w:rFonts w:ascii="Arial" w:hAnsi="Arial" w:cs="Arial"/>
          <w:sz w:val="20"/>
          <w:szCs w:val="20"/>
        </w:rPr>
        <w:t xml:space="preserve">jejího </w:t>
      </w:r>
      <w:r w:rsidR="001921C1" w:rsidRPr="001921C1">
        <w:rPr>
          <w:rFonts w:ascii="Arial" w:hAnsi="Arial" w:cs="Arial"/>
          <w:sz w:val="20"/>
          <w:szCs w:val="20"/>
        </w:rPr>
        <w:t>provozu na celém území státu nebo jeho části</w:t>
      </w:r>
      <w:r w:rsidR="00AB4298">
        <w:rPr>
          <w:rFonts w:ascii="Arial" w:hAnsi="Arial" w:cs="Arial"/>
          <w:sz w:val="20"/>
          <w:szCs w:val="20"/>
        </w:rPr>
        <w:t>,</w:t>
      </w:r>
    </w:p>
    <w:p w14:paraId="65C2DCC5" w14:textId="1C0CAF75" w:rsidR="00281EB7" w:rsidRDefault="001921C1" w:rsidP="00281EB7">
      <w:pPr>
        <w:spacing w:after="120"/>
        <w:ind w:left="851" w:hanging="396"/>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AB4298">
        <w:rPr>
          <w:rFonts w:ascii="Arial" w:hAnsi="Arial" w:cs="Arial"/>
          <w:sz w:val="20"/>
          <w:szCs w:val="20"/>
        </w:rPr>
        <w:t>výluka byla způsobe</w:t>
      </w:r>
      <w:r w:rsidR="00BF6DB1">
        <w:rPr>
          <w:rFonts w:ascii="Arial" w:hAnsi="Arial" w:cs="Arial"/>
          <w:sz w:val="20"/>
          <w:szCs w:val="20"/>
        </w:rPr>
        <w:t>na</w:t>
      </w:r>
      <w:r w:rsidR="00AB4298">
        <w:rPr>
          <w:rFonts w:ascii="Arial" w:hAnsi="Arial" w:cs="Arial"/>
          <w:sz w:val="20"/>
          <w:szCs w:val="20"/>
        </w:rPr>
        <w:t xml:space="preserve"> </w:t>
      </w:r>
      <w:r w:rsidR="00C92290" w:rsidRPr="00BC3B0C">
        <w:rPr>
          <w:rFonts w:ascii="Arial" w:hAnsi="Arial" w:cs="Arial"/>
          <w:sz w:val="20"/>
          <w:szCs w:val="20"/>
        </w:rPr>
        <w:t>z</w:t>
      </w:r>
      <w:r w:rsidR="00AB4298">
        <w:rPr>
          <w:rFonts w:ascii="Arial" w:hAnsi="Arial" w:cs="Arial"/>
          <w:sz w:val="20"/>
          <w:szCs w:val="20"/>
        </w:rPr>
        <w:t> </w:t>
      </w:r>
      <w:r w:rsidR="00BF6DB1">
        <w:rPr>
          <w:rFonts w:ascii="Arial" w:hAnsi="Arial" w:cs="Arial"/>
          <w:sz w:val="20"/>
          <w:szCs w:val="20"/>
        </w:rPr>
        <w:t>dalších</w:t>
      </w:r>
      <w:r w:rsidR="00AB4298">
        <w:rPr>
          <w:rFonts w:ascii="Arial" w:hAnsi="Arial" w:cs="Arial"/>
          <w:sz w:val="20"/>
          <w:szCs w:val="20"/>
        </w:rPr>
        <w:t xml:space="preserve"> </w:t>
      </w:r>
      <w:r w:rsidR="00C92290" w:rsidRPr="00BC3B0C">
        <w:rPr>
          <w:rFonts w:ascii="Arial" w:hAnsi="Arial" w:cs="Arial"/>
          <w:sz w:val="20"/>
          <w:szCs w:val="20"/>
        </w:rPr>
        <w:t xml:space="preserve">důvodů </w:t>
      </w:r>
      <w:r w:rsidR="00AA2251">
        <w:rPr>
          <w:rFonts w:ascii="Arial" w:hAnsi="Arial" w:cs="Arial"/>
          <w:sz w:val="20"/>
          <w:szCs w:val="20"/>
        </w:rPr>
        <w:t>vyplývajících z příslušných</w:t>
      </w:r>
      <w:r w:rsidR="00C92290" w:rsidRPr="00BC3B0C">
        <w:rPr>
          <w:rFonts w:ascii="Arial" w:hAnsi="Arial" w:cs="Arial"/>
          <w:sz w:val="20"/>
          <w:szCs w:val="20"/>
        </w:rPr>
        <w:t xml:space="preserve"> právních předpisů</w:t>
      </w:r>
      <w:r w:rsidR="00C542D1">
        <w:rPr>
          <w:rFonts w:ascii="Arial" w:hAnsi="Arial" w:cs="Arial"/>
          <w:sz w:val="20"/>
          <w:szCs w:val="20"/>
        </w:rPr>
        <w:t>, anebo</w:t>
      </w:r>
    </w:p>
    <w:p w14:paraId="5DB6FCB2" w14:textId="663223B1" w:rsidR="00C542D1" w:rsidRDefault="00C542D1" w:rsidP="00281EB7">
      <w:pPr>
        <w:spacing w:after="120"/>
        <w:ind w:left="851" w:hanging="396"/>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k výluce došlo z důvodu </w:t>
      </w:r>
      <w:r w:rsidR="0087203B">
        <w:rPr>
          <w:rFonts w:ascii="Arial" w:hAnsi="Arial" w:cs="Arial"/>
          <w:sz w:val="20"/>
          <w:szCs w:val="20"/>
        </w:rPr>
        <w:t xml:space="preserve">nezbytných </w:t>
      </w:r>
      <w:r>
        <w:rPr>
          <w:rFonts w:ascii="Arial" w:hAnsi="Arial" w:cs="Arial"/>
          <w:sz w:val="20"/>
          <w:szCs w:val="20"/>
        </w:rPr>
        <w:t xml:space="preserve">oprav či jiných zásahů do zařízení zajišťující </w:t>
      </w:r>
      <w:r w:rsidR="007B0284">
        <w:rPr>
          <w:rFonts w:ascii="Arial" w:hAnsi="Arial" w:cs="Arial"/>
          <w:sz w:val="20"/>
          <w:szCs w:val="20"/>
        </w:rPr>
        <w:t>službu dodávek</w:t>
      </w:r>
      <w:r>
        <w:rPr>
          <w:rFonts w:ascii="Arial" w:hAnsi="Arial" w:cs="Arial"/>
          <w:sz w:val="20"/>
          <w:szCs w:val="20"/>
        </w:rPr>
        <w:t xml:space="preserve"> provozovatelem</w:t>
      </w:r>
      <w:r w:rsidR="00B24B53">
        <w:rPr>
          <w:rFonts w:ascii="Arial" w:hAnsi="Arial" w:cs="Arial"/>
          <w:sz w:val="20"/>
          <w:szCs w:val="20"/>
        </w:rPr>
        <w:t xml:space="preserve">, které nutně vyžadují přerušení nebo omezení </w:t>
      </w:r>
      <w:r w:rsidR="007B0284">
        <w:rPr>
          <w:rFonts w:ascii="Arial" w:hAnsi="Arial" w:cs="Arial"/>
          <w:sz w:val="20"/>
          <w:szCs w:val="20"/>
        </w:rPr>
        <w:t>služby dodávek</w:t>
      </w:r>
      <w:r>
        <w:rPr>
          <w:rFonts w:ascii="Arial" w:hAnsi="Arial" w:cs="Arial"/>
          <w:sz w:val="20"/>
          <w:szCs w:val="20"/>
        </w:rPr>
        <w:t>.</w:t>
      </w:r>
    </w:p>
    <w:p w14:paraId="611FC4E7" w14:textId="3D0E021D" w:rsidR="00186A53" w:rsidRPr="00BC3B0C" w:rsidRDefault="00186A53" w:rsidP="00B46F0E">
      <w:pPr>
        <w:spacing w:after="120"/>
        <w:ind w:left="397"/>
        <w:jc w:val="both"/>
        <w:rPr>
          <w:rFonts w:ascii="Arial" w:hAnsi="Arial" w:cs="Arial"/>
          <w:sz w:val="20"/>
          <w:szCs w:val="20"/>
        </w:rPr>
      </w:pPr>
      <w:r w:rsidRPr="00AB4298">
        <w:rPr>
          <w:rFonts w:ascii="Arial" w:hAnsi="Arial" w:cs="Arial"/>
          <w:sz w:val="20"/>
          <w:szCs w:val="20"/>
        </w:rPr>
        <w:t xml:space="preserve">Provozovatel bude dopravce </w:t>
      </w:r>
      <w:r w:rsidR="00C92290" w:rsidRPr="00AB4298">
        <w:rPr>
          <w:rFonts w:ascii="Arial" w:hAnsi="Arial" w:cs="Arial"/>
          <w:sz w:val="20"/>
          <w:szCs w:val="20"/>
        </w:rPr>
        <w:t xml:space="preserve">bezodkladně informovat </w:t>
      </w:r>
      <w:r w:rsidRPr="00AB4298">
        <w:rPr>
          <w:rFonts w:ascii="Arial" w:hAnsi="Arial" w:cs="Arial"/>
          <w:sz w:val="20"/>
          <w:szCs w:val="20"/>
        </w:rPr>
        <w:t xml:space="preserve">o </w:t>
      </w:r>
      <w:r w:rsidR="00AB4298">
        <w:rPr>
          <w:rFonts w:ascii="Arial" w:hAnsi="Arial" w:cs="Arial"/>
          <w:sz w:val="20"/>
          <w:szCs w:val="20"/>
        </w:rPr>
        <w:t>výluce dle tohoto bodu včetně jejího důvodu.</w:t>
      </w:r>
      <w:r w:rsidR="00C542D1">
        <w:rPr>
          <w:rFonts w:ascii="Arial" w:hAnsi="Arial" w:cs="Arial"/>
          <w:sz w:val="20"/>
          <w:szCs w:val="20"/>
        </w:rPr>
        <w:t xml:space="preserve"> </w:t>
      </w:r>
    </w:p>
    <w:p w14:paraId="1AD1B9B2" w14:textId="7A4989C8" w:rsidR="00186A53" w:rsidRPr="00BC3B0C" w:rsidRDefault="00186A53" w:rsidP="00186A53">
      <w:pPr>
        <w:spacing w:after="120"/>
        <w:ind w:left="397" w:hanging="397"/>
        <w:jc w:val="both"/>
        <w:rPr>
          <w:rFonts w:ascii="Arial" w:hAnsi="Arial" w:cs="Arial"/>
          <w:sz w:val="20"/>
          <w:szCs w:val="20"/>
        </w:rPr>
      </w:pPr>
      <w:r w:rsidRPr="00BC3B0C">
        <w:rPr>
          <w:rFonts w:ascii="Arial" w:hAnsi="Arial" w:cs="Arial"/>
          <w:sz w:val="20"/>
          <w:szCs w:val="20"/>
        </w:rPr>
        <w:t>3.</w:t>
      </w:r>
      <w:r w:rsidRPr="00BC3B0C">
        <w:rPr>
          <w:rFonts w:ascii="Arial" w:hAnsi="Arial" w:cs="Arial"/>
          <w:sz w:val="20"/>
          <w:szCs w:val="20"/>
        </w:rPr>
        <w:tab/>
        <w:t xml:space="preserve">Pokud dopravce poruší svoji povinnost uhradit provozovateli ve sjednané lhůtě splatnosti jakoukoliv peněžitou částku fakturovanou provozovatelem dopravci podle této smlouvy o dodávkách, zavazuje se dopravce zaplatit provozovateli </w:t>
      </w:r>
      <w:r w:rsidR="00707A6C">
        <w:rPr>
          <w:rFonts w:ascii="Arial" w:hAnsi="Arial" w:cs="Arial"/>
          <w:sz w:val="20"/>
          <w:szCs w:val="20"/>
        </w:rPr>
        <w:t xml:space="preserve">zákonný úrok z prodlení </w:t>
      </w:r>
      <w:r w:rsidRPr="00BC3B0C">
        <w:rPr>
          <w:rFonts w:ascii="Arial" w:hAnsi="Arial" w:cs="Arial"/>
          <w:sz w:val="20"/>
          <w:szCs w:val="20"/>
        </w:rPr>
        <w:t>z peněžité částky, s jejíž úhradou je v prodlení.</w:t>
      </w:r>
    </w:p>
    <w:p w14:paraId="38CD6C2E" w14:textId="7237BBFC" w:rsidR="00500B4B" w:rsidRPr="002377E0" w:rsidRDefault="00EF52FD" w:rsidP="009543B9">
      <w:pPr>
        <w:keepNext/>
        <w:spacing w:before="480" w:after="240"/>
        <w:jc w:val="center"/>
        <w:rPr>
          <w:rFonts w:ascii="Arial" w:hAnsi="Arial" w:cs="Arial"/>
          <w:b/>
          <w:sz w:val="20"/>
          <w:szCs w:val="20"/>
        </w:rPr>
      </w:pPr>
      <w:r w:rsidRPr="002377E0">
        <w:rPr>
          <w:rFonts w:ascii="Arial" w:hAnsi="Arial" w:cs="Arial"/>
          <w:b/>
          <w:spacing w:val="60"/>
          <w:sz w:val="20"/>
          <w:szCs w:val="20"/>
        </w:rPr>
        <w:t>Článe</w:t>
      </w:r>
      <w:r w:rsidR="00500B4B" w:rsidRPr="002377E0">
        <w:rPr>
          <w:rFonts w:ascii="Arial" w:hAnsi="Arial" w:cs="Arial"/>
          <w:b/>
          <w:spacing w:val="60"/>
          <w:sz w:val="20"/>
          <w:szCs w:val="20"/>
        </w:rPr>
        <w:t>k</w:t>
      </w:r>
      <w:r w:rsidRPr="002377E0">
        <w:rPr>
          <w:rFonts w:ascii="Arial" w:hAnsi="Arial" w:cs="Arial"/>
          <w:b/>
          <w:spacing w:val="60"/>
          <w:sz w:val="20"/>
          <w:szCs w:val="20"/>
        </w:rPr>
        <w:t xml:space="preserve"> </w:t>
      </w:r>
      <w:r w:rsidR="00F12A71">
        <w:rPr>
          <w:rFonts w:ascii="Arial" w:hAnsi="Arial" w:cs="Arial"/>
          <w:b/>
          <w:spacing w:val="60"/>
          <w:sz w:val="20"/>
          <w:szCs w:val="20"/>
        </w:rPr>
        <w:t>9</w:t>
      </w:r>
      <w:r w:rsidR="004D7DA1" w:rsidRPr="002377E0">
        <w:rPr>
          <w:rFonts w:ascii="Arial" w:hAnsi="Arial" w:cs="Arial"/>
          <w:b/>
          <w:spacing w:val="60"/>
          <w:sz w:val="20"/>
          <w:szCs w:val="20"/>
        </w:rPr>
        <w:br/>
      </w:r>
      <w:r w:rsidR="00500B4B" w:rsidRPr="002377E0">
        <w:rPr>
          <w:rFonts w:ascii="Arial" w:hAnsi="Arial" w:cs="Arial"/>
          <w:b/>
          <w:sz w:val="20"/>
          <w:szCs w:val="20"/>
        </w:rPr>
        <w:t>Ukončení smluvního vztahu</w:t>
      </w:r>
    </w:p>
    <w:p w14:paraId="3BBBF096" w14:textId="590D7328" w:rsidR="00093B16" w:rsidRPr="00BC3B0C" w:rsidRDefault="00500B4B" w:rsidP="007F0DCB">
      <w:pPr>
        <w:spacing w:after="120"/>
        <w:ind w:left="397" w:hanging="397"/>
        <w:jc w:val="both"/>
        <w:rPr>
          <w:rFonts w:ascii="Arial" w:hAnsi="Arial" w:cs="Arial"/>
          <w:sz w:val="20"/>
          <w:szCs w:val="20"/>
        </w:rPr>
      </w:pPr>
      <w:r w:rsidRPr="00BC3B0C">
        <w:rPr>
          <w:rFonts w:ascii="Arial" w:hAnsi="Arial" w:cs="Arial"/>
          <w:sz w:val="20"/>
          <w:szCs w:val="20"/>
        </w:rPr>
        <w:t>1.</w:t>
      </w:r>
      <w:r w:rsidRPr="00BC3B0C">
        <w:rPr>
          <w:rFonts w:ascii="Arial" w:hAnsi="Arial" w:cs="Arial"/>
          <w:sz w:val="20"/>
          <w:szCs w:val="20"/>
        </w:rPr>
        <w:tab/>
      </w:r>
      <w:r w:rsidR="00093B16" w:rsidRPr="00BC3B0C">
        <w:rPr>
          <w:rFonts w:ascii="Arial" w:hAnsi="Arial" w:cs="Arial"/>
          <w:sz w:val="20"/>
          <w:szCs w:val="20"/>
        </w:rPr>
        <w:t xml:space="preserve">Smluvní strany shodně prohlašují, že tato smlouva o dodávkách je věcně závislá na </w:t>
      </w:r>
      <w:r w:rsidR="0021284F">
        <w:rPr>
          <w:rFonts w:ascii="Arial" w:hAnsi="Arial" w:cs="Arial"/>
          <w:sz w:val="20"/>
          <w:szCs w:val="20"/>
        </w:rPr>
        <w:t>S</w:t>
      </w:r>
      <w:r w:rsidR="00093B16" w:rsidRPr="00BC3B0C">
        <w:rPr>
          <w:rFonts w:ascii="Arial" w:hAnsi="Arial" w:cs="Arial"/>
          <w:sz w:val="20"/>
          <w:szCs w:val="20"/>
        </w:rPr>
        <w:t xml:space="preserve">mlouvě o provozování. Smluvní strany se proto dohodly, že tato smlouva o dodávkách zaniká dnem, kdy dojde k zániku </w:t>
      </w:r>
      <w:r w:rsidR="0021284F">
        <w:rPr>
          <w:rFonts w:ascii="Arial" w:hAnsi="Arial" w:cs="Arial"/>
          <w:sz w:val="20"/>
          <w:szCs w:val="20"/>
        </w:rPr>
        <w:t>S</w:t>
      </w:r>
      <w:r w:rsidR="00093B16" w:rsidRPr="00BC3B0C">
        <w:rPr>
          <w:rFonts w:ascii="Arial" w:hAnsi="Arial" w:cs="Arial"/>
          <w:sz w:val="20"/>
          <w:szCs w:val="20"/>
        </w:rPr>
        <w:t>mlouvy o provozování.</w:t>
      </w:r>
    </w:p>
    <w:p w14:paraId="34097619" w14:textId="77777777" w:rsidR="00500B4B" w:rsidRPr="00BC3B0C" w:rsidRDefault="00093B16" w:rsidP="00946DC9">
      <w:pPr>
        <w:spacing w:after="120"/>
        <w:ind w:left="397" w:hanging="397"/>
        <w:jc w:val="both"/>
        <w:rPr>
          <w:rFonts w:ascii="Arial" w:hAnsi="Arial" w:cs="Arial"/>
          <w:sz w:val="20"/>
          <w:szCs w:val="20"/>
        </w:rPr>
      </w:pPr>
      <w:r w:rsidRPr="00BC3B0C">
        <w:rPr>
          <w:rFonts w:ascii="Arial" w:hAnsi="Arial" w:cs="Arial"/>
          <w:sz w:val="20"/>
          <w:szCs w:val="20"/>
        </w:rPr>
        <w:t>2.</w:t>
      </w:r>
      <w:r w:rsidRPr="00BC3B0C">
        <w:rPr>
          <w:rFonts w:ascii="Arial" w:hAnsi="Arial" w:cs="Arial"/>
          <w:sz w:val="20"/>
          <w:szCs w:val="20"/>
        </w:rPr>
        <w:tab/>
      </w:r>
      <w:r w:rsidR="00946DC9" w:rsidRPr="00BC3B0C">
        <w:rPr>
          <w:rFonts w:ascii="Arial" w:hAnsi="Arial" w:cs="Arial"/>
          <w:sz w:val="20"/>
          <w:szCs w:val="20"/>
        </w:rPr>
        <w:t xml:space="preserve">Tato smlouva o dodávkách zaniká na základě písemné </w:t>
      </w:r>
      <w:r w:rsidR="00500B4B" w:rsidRPr="00BC3B0C">
        <w:rPr>
          <w:rFonts w:ascii="Arial" w:hAnsi="Arial" w:cs="Arial"/>
          <w:sz w:val="20"/>
          <w:szCs w:val="20"/>
        </w:rPr>
        <w:t>dohod</w:t>
      </w:r>
      <w:r w:rsidR="00946DC9" w:rsidRPr="00BC3B0C">
        <w:rPr>
          <w:rFonts w:ascii="Arial" w:hAnsi="Arial" w:cs="Arial"/>
          <w:sz w:val="20"/>
          <w:szCs w:val="20"/>
        </w:rPr>
        <w:t>y smluvních stran.</w:t>
      </w:r>
    </w:p>
    <w:p w14:paraId="44289D63" w14:textId="38F46C88" w:rsidR="00946DC9" w:rsidRPr="00BC3B0C" w:rsidRDefault="00946DC9" w:rsidP="00946DC9">
      <w:pPr>
        <w:spacing w:after="120"/>
        <w:ind w:left="397" w:hanging="397"/>
        <w:jc w:val="both"/>
        <w:rPr>
          <w:rFonts w:ascii="Arial" w:hAnsi="Arial" w:cs="Arial"/>
          <w:sz w:val="20"/>
          <w:szCs w:val="20"/>
        </w:rPr>
      </w:pPr>
      <w:r w:rsidRPr="00BC3B0C">
        <w:rPr>
          <w:rFonts w:ascii="Arial" w:hAnsi="Arial" w:cs="Arial"/>
          <w:sz w:val="20"/>
          <w:szCs w:val="20"/>
        </w:rPr>
        <w:t>3.</w:t>
      </w:r>
      <w:r w:rsidRPr="00BC3B0C">
        <w:rPr>
          <w:rFonts w:ascii="Arial" w:hAnsi="Arial" w:cs="Arial"/>
          <w:sz w:val="20"/>
          <w:szCs w:val="20"/>
        </w:rPr>
        <w:tab/>
      </w:r>
      <w:r w:rsidR="00A9564D">
        <w:rPr>
          <w:rFonts w:ascii="Arial" w:hAnsi="Arial" w:cs="Arial"/>
          <w:sz w:val="20"/>
          <w:szCs w:val="20"/>
        </w:rPr>
        <w:t>Smluvní strana</w:t>
      </w:r>
      <w:r w:rsidRPr="00BC3B0C">
        <w:rPr>
          <w:rFonts w:ascii="Arial" w:hAnsi="Arial" w:cs="Arial"/>
          <w:sz w:val="20"/>
          <w:szCs w:val="20"/>
        </w:rPr>
        <w:t xml:space="preserve"> je oprávněn</w:t>
      </w:r>
      <w:r w:rsidR="00A9564D">
        <w:rPr>
          <w:rFonts w:ascii="Arial" w:hAnsi="Arial" w:cs="Arial"/>
          <w:sz w:val="20"/>
          <w:szCs w:val="20"/>
        </w:rPr>
        <w:t>a</w:t>
      </w:r>
      <w:bookmarkStart w:id="10" w:name="_Ref458704043"/>
      <w:r w:rsidRPr="00BC3B0C">
        <w:rPr>
          <w:rFonts w:ascii="Arial" w:hAnsi="Arial" w:cs="Arial"/>
          <w:sz w:val="20"/>
          <w:szCs w:val="20"/>
        </w:rPr>
        <w:t xml:space="preserve"> odstoupit od této </w:t>
      </w:r>
      <w:r w:rsidR="000E6D9D" w:rsidRPr="00BC3B0C">
        <w:rPr>
          <w:rFonts w:ascii="Arial" w:hAnsi="Arial" w:cs="Arial"/>
          <w:sz w:val="20"/>
          <w:szCs w:val="20"/>
        </w:rPr>
        <w:t>s</w:t>
      </w:r>
      <w:r w:rsidRPr="00BC3B0C">
        <w:rPr>
          <w:rFonts w:ascii="Arial" w:hAnsi="Arial" w:cs="Arial"/>
          <w:sz w:val="20"/>
          <w:szCs w:val="20"/>
        </w:rPr>
        <w:t>mlouvy</w:t>
      </w:r>
      <w:r w:rsidR="000E6D9D" w:rsidRPr="00BC3B0C">
        <w:rPr>
          <w:rFonts w:ascii="Arial" w:hAnsi="Arial" w:cs="Arial"/>
          <w:sz w:val="20"/>
          <w:szCs w:val="20"/>
        </w:rPr>
        <w:t xml:space="preserve"> o dodávkách</w:t>
      </w:r>
      <w:r w:rsidRPr="00BC3B0C">
        <w:rPr>
          <w:rFonts w:ascii="Arial" w:hAnsi="Arial" w:cs="Arial"/>
          <w:sz w:val="20"/>
          <w:szCs w:val="20"/>
        </w:rPr>
        <w:t xml:space="preserve">, pokud </w:t>
      </w:r>
      <w:r w:rsidR="00A9564D">
        <w:rPr>
          <w:rFonts w:ascii="Arial" w:hAnsi="Arial" w:cs="Arial"/>
          <w:sz w:val="20"/>
          <w:szCs w:val="20"/>
        </w:rPr>
        <w:t>druhá smluvní strana</w:t>
      </w:r>
      <w:r w:rsidR="000E6D9D" w:rsidRPr="00BC3B0C">
        <w:rPr>
          <w:rFonts w:ascii="Arial" w:hAnsi="Arial" w:cs="Arial"/>
          <w:sz w:val="20"/>
          <w:szCs w:val="20"/>
        </w:rPr>
        <w:t xml:space="preserve"> </w:t>
      </w:r>
      <w:r w:rsidRPr="00BC3B0C">
        <w:rPr>
          <w:rFonts w:ascii="Arial" w:hAnsi="Arial" w:cs="Arial"/>
          <w:sz w:val="20"/>
          <w:szCs w:val="20"/>
        </w:rPr>
        <w:t xml:space="preserve">poruší tuto </w:t>
      </w:r>
      <w:r w:rsidR="000E6D9D" w:rsidRPr="00BC3B0C">
        <w:rPr>
          <w:rFonts w:ascii="Arial" w:hAnsi="Arial" w:cs="Arial"/>
          <w:sz w:val="20"/>
          <w:szCs w:val="20"/>
        </w:rPr>
        <w:t>s</w:t>
      </w:r>
      <w:r w:rsidRPr="00BC3B0C">
        <w:rPr>
          <w:rFonts w:ascii="Arial" w:hAnsi="Arial" w:cs="Arial"/>
          <w:sz w:val="20"/>
          <w:szCs w:val="20"/>
        </w:rPr>
        <w:t xml:space="preserve">mlouvu </w:t>
      </w:r>
      <w:r w:rsidR="00D97D79" w:rsidRPr="00BC3B0C">
        <w:rPr>
          <w:rFonts w:ascii="Arial" w:hAnsi="Arial" w:cs="Arial"/>
          <w:sz w:val="20"/>
          <w:szCs w:val="20"/>
        </w:rPr>
        <w:t>o</w:t>
      </w:r>
      <w:r w:rsidR="00D97D79">
        <w:rPr>
          <w:rFonts w:ascii="Arial" w:hAnsi="Arial" w:cs="Arial"/>
          <w:sz w:val="20"/>
          <w:szCs w:val="20"/>
        </w:rPr>
        <w:t> </w:t>
      </w:r>
      <w:r w:rsidR="000E6D9D" w:rsidRPr="00BC3B0C">
        <w:rPr>
          <w:rFonts w:ascii="Arial" w:hAnsi="Arial" w:cs="Arial"/>
          <w:sz w:val="20"/>
          <w:szCs w:val="20"/>
        </w:rPr>
        <w:t xml:space="preserve">dodávkách </w:t>
      </w:r>
      <w:r w:rsidRPr="00BC3B0C">
        <w:rPr>
          <w:rFonts w:ascii="Arial" w:hAnsi="Arial" w:cs="Arial"/>
          <w:sz w:val="20"/>
          <w:szCs w:val="20"/>
        </w:rPr>
        <w:t xml:space="preserve">podstatným způsobem ve smyslu § 2002 </w:t>
      </w:r>
      <w:r w:rsidR="000E6D9D" w:rsidRPr="00BC3B0C">
        <w:rPr>
          <w:rFonts w:ascii="Arial" w:hAnsi="Arial" w:cs="Arial"/>
          <w:sz w:val="20"/>
          <w:szCs w:val="20"/>
        </w:rPr>
        <w:t>o</w:t>
      </w:r>
      <w:r w:rsidRPr="00BC3B0C">
        <w:rPr>
          <w:rFonts w:ascii="Arial" w:hAnsi="Arial" w:cs="Arial"/>
          <w:sz w:val="20"/>
          <w:szCs w:val="20"/>
        </w:rPr>
        <w:t xml:space="preserve">bčanského zákoníku. </w:t>
      </w:r>
      <w:r w:rsidR="00D97D79">
        <w:rPr>
          <w:rFonts w:ascii="Arial" w:hAnsi="Arial" w:cs="Arial"/>
          <w:sz w:val="20"/>
          <w:szCs w:val="20"/>
        </w:rPr>
        <w:t>Dopravce</w:t>
      </w:r>
      <w:r w:rsidR="00D97D79" w:rsidRPr="00BC3B0C">
        <w:rPr>
          <w:rFonts w:ascii="Arial" w:hAnsi="Arial" w:cs="Arial"/>
          <w:sz w:val="20"/>
          <w:szCs w:val="20"/>
        </w:rPr>
        <w:t xml:space="preserve"> </w:t>
      </w:r>
      <w:r w:rsidRPr="00BC3B0C">
        <w:rPr>
          <w:rFonts w:ascii="Arial" w:hAnsi="Arial" w:cs="Arial"/>
          <w:sz w:val="20"/>
          <w:szCs w:val="20"/>
        </w:rPr>
        <w:t xml:space="preserve">poruší tuto </w:t>
      </w:r>
      <w:r w:rsidR="000E6D9D" w:rsidRPr="00BC3B0C">
        <w:rPr>
          <w:rFonts w:ascii="Arial" w:hAnsi="Arial" w:cs="Arial"/>
          <w:sz w:val="20"/>
          <w:szCs w:val="20"/>
        </w:rPr>
        <w:t>s</w:t>
      </w:r>
      <w:r w:rsidRPr="00BC3B0C">
        <w:rPr>
          <w:rFonts w:ascii="Arial" w:hAnsi="Arial" w:cs="Arial"/>
          <w:sz w:val="20"/>
          <w:szCs w:val="20"/>
        </w:rPr>
        <w:t xml:space="preserve">mlouvu </w:t>
      </w:r>
      <w:r w:rsidR="000E6D9D" w:rsidRPr="00BC3B0C">
        <w:rPr>
          <w:rFonts w:ascii="Arial" w:hAnsi="Arial" w:cs="Arial"/>
          <w:sz w:val="20"/>
          <w:szCs w:val="20"/>
        </w:rPr>
        <w:t xml:space="preserve">o dodávkách </w:t>
      </w:r>
      <w:r w:rsidRPr="00BC3B0C">
        <w:rPr>
          <w:rFonts w:ascii="Arial" w:hAnsi="Arial" w:cs="Arial"/>
          <w:sz w:val="20"/>
          <w:szCs w:val="20"/>
        </w:rPr>
        <w:t>podstatným způsobem zejména tehdy, pokud</w:t>
      </w:r>
      <w:bookmarkEnd w:id="10"/>
      <w:r w:rsidR="000E6D9D" w:rsidRPr="00BC3B0C">
        <w:rPr>
          <w:rFonts w:ascii="Arial" w:hAnsi="Arial" w:cs="Arial"/>
          <w:sz w:val="20"/>
          <w:szCs w:val="20"/>
        </w:rPr>
        <w:t xml:space="preserve"> je v prodlení s</w:t>
      </w:r>
      <w:r w:rsidR="00A9564D">
        <w:rPr>
          <w:rFonts w:ascii="Arial" w:hAnsi="Arial" w:cs="Arial"/>
          <w:sz w:val="20"/>
          <w:szCs w:val="20"/>
        </w:rPr>
        <w:t> </w:t>
      </w:r>
      <w:r w:rsidR="000E6D9D" w:rsidRPr="00BC3B0C">
        <w:rPr>
          <w:rFonts w:ascii="Arial" w:hAnsi="Arial" w:cs="Arial"/>
          <w:sz w:val="20"/>
          <w:szCs w:val="20"/>
        </w:rPr>
        <w:t xml:space="preserve">plněním svého závazku o více než </w:t>
      </w:r>
      <w:r w:rsidR="000E6D9D" w:rsidRPr="00B778A3">
        <w:rPr>
          <w:rFonts w:ascii="Arial" w:hAnsi="Arial" w:cs="Arial"/>
          <w:sz w:val="20"/>
          <w:szCs w:val="20"/>
        </w:rPr>
        <w:t>třicet (30) kalendářních dnů</w:t>
      </w:r>
      <w:r w:rsidR="000E6D9D" w:rsidRPr="00BC3B0C">
        <w:rPr>
          <w:rFonts w:ascii="Arial" w:hAnsi="Arial" w:cs="Arial"/>
          <w:sz w:val="20"/>
          <w:szCs w:val="20"/>
        </w:rPr>
        <w:t xml:space="preserve"> od jeho splatnosti, a tento závazek nesplní ani v dodatečně lhůtě poskytnuté </w:t>
      </w:r>
      <w:r w:rsidR="00D97D79">
        <w:rPr>
          <w:rFonts w:ascii="Arial" w:hAnsi="Arial" w:cs="Arial"/>
          <w:sz w:val="20"/>
          <w:szCs w:val="20"/>
        </w:rPr>
        <w:t>mu</w:t>
      </w:r>
      <w:r w:rsidR="00D97D79" w:rsidRPr="00BC3B0C">
        <w:rPr>
          <w:rFonts w:ascii="Arial" w:hAnsi="Arial" w:cs="Arial"/>
          <w:sz w:val="20"/>
          <w:szCs w:val="20"/>
        </w:rPr>
        <w:t xml:space="preserve"> </w:t>
      </w:r>
      <w:r w:rsidR="000E6D9D" w:rsidRPr="00BC3B0C">
        <w:rPr>
          <w:rFonts w:ascii="Arial" w:hAnsi="Arial" w:cs="Arial"/>
          <w:sz w:val="20"/>
          <w:szCs w:val="20"/>
        </w:rPr>
        <w:t xml:space="preserve">v písemné výzvě provozovatelem. Délka dodatečné lhůty nesmí být kratší než </w:t>
      </w:r>
      <w:r w:rsidR="000E6D9D" w:rsidRPr="00B778A3">
        <w:rPr>
          <w:rFonts w:ascii="Arial" w:hAnsi="Arial" w:cs="Arial"/>
          <w:sz w:val="20"/>
          <w:szCs w:val="20"/>
        </w:rPr>
        <w:t>patnáct (15) kalendářních dnů</w:t>
      </w:r>
      <w:r w:rsidR="000E6D9D" w:rsidRPr="00BC3B0C">
        <w:rPr>
          <w:rFonts w:ascii="Arial" w:hAnsi="Arial" w:cs="Arial"/>
          <w:sz w:val="20"/>
          <w:szCs w:val="20"/>
        </w:rPr>
        <w:t xml:space="preserve"> od jejího doručení.</w:t>
      </w:r>
      <w:r w:rsidR="00A9564D">
        <w:rPr>
          <w:rFonts w:ascii="Arial" w:hAnsi="Arial" w:cs="Arial"/>
          <w:sz w:val="20"/>
          <w:szCs w:val="20"/>
        </w:rPr>
        <w:t xml:space="preserve"> Provozovatel</w:t>
      </w:r>
      <w:r w:rsidR="00A9564D" w:rsidRPr="00BC3B0C">
        <w:rPr>
          <w:rFonts w:ascii="Arial" w:hAnsi="Arial" w:cs="Arial"/>
          <w:sz w:val="20"/>
          <w:szCs w:val="20"/>
        </w:rPr>
        <w:t xml:space="preserve"> poruší tuto smlouvu o</w:t>
      </w:r>
      <w:r w:rsidR="001D4697">
        <w:rPr>
          <w:rFonts w:ascii="Arial" w:hAnsi="Arial" w:cs="Arial"/>
          <w:sz w:val="20"/>
          <w:szCs w:val="20"/>
        </w:rPr>
        <w:t> </w:t>
      </w:r>
      <w:r w:rsidR="00A9564D" w:rsidRPr="00BC3B0C">
        <w:rPr>
          <w:rFonts w:ascii="Arial" w:hAnsi="Arial" w:cs="Arial"/>
          <w:sz w:val="20"/>
          <w:szCs w:val="20"/>
        </w:rPr>
        <w:t>dodávkách podstatným způsobem zejména tehdy</w:t>
      </w:r>
      <w:r w:rsidR="00314AC3">
        <w:rPr>
          <w:rFonts w:ascii="Arial" w:hAnsi="Arial" w:cs="Arial"/>
          <w:sz w:val="20"/>
          <w:szCs w:val="20"/>
        </w:rPr>
        <w:t xml:space="preserve">, pokud v rozporu s touto smlouvou o dodávkách nezajistí dodávání trakční elektrické energie na sběrač elektrického hnacího vozidla nebo pokud v souvislosti s nakupováním trakční elektrické energie na komoditní burze poruší svoji povinnost uvedenou v článku 5 </w:t>
      </w:r>
      <w:r w:rsidR="00697833">
        <w:rPr>
          <w:rFonts w:ascii="Arial" w:hAnsi="Arial" w:cs="Arial"/>
          <w:sz w:val="20"/>
          <w:szCs w:val="20"/>
        </w:rPr>
        <w:t>bodu</w:t>
      </w:r>
      <w:r w:rsidR="00314AC3">
        <w:rPr>
          <w:rFonts w:ascii="Arial" w:hAnsi="Arial" w:cs="Arial"/>
          <w:sz w:val="20"/>
          <w:szCs w:val="20"/>
        </w:rPr>
        <w:t xml:space="preserve"> 3 </w:t>
      </w:r>
      <w:proofErr w:type="gramStart"/>
      <w:r w:rsidR="00314AC3">
        <w:rPr>
          <w:rFonts w:ascii="Arial" w:hAnsi="Arial" w:cs="Arial"/>
          <w:sz w:val="20"/>
          <w:szCs w:val="20"/>
        </w:rPr>
        <w:t>této</w:t>
      </w:r>
      <w:proofErr w:type="gramEnd"/>
      <w:r w:rsidR="00314AC3">
        <w:rPr>
          <w:rFonts w:ascii="Arial" w:hAnsi="Arial" w:cs="Arial"/>
          <w:sz w:val="20"/>
          <w:szCs w:val="20"/>
        </w:rPr>
        <w:t xml:space="preserve"> smlouvy o dodávkách.</w:t>
      </w:r>
    </w:p>
    <w:p w14:paraId="652AB2BC" w14:textId="4E355F7B" w:rsidR="000E6D9D" w:rsidRPr="00BC3B0C" w:rsidRDefault="0078296C" w:rsidP="000E6D9D">
      <w:pPr>
        <w:spacing w:after="120"/>
        <w:ind w:left="397" w:hanging="397"/>
        <w:jc w:val="both"/>
        <w:rPr>
          <w:rFonts w:ascii="Arial" w:hAnsi="Arial" w:cs="Arial"/>
          <w:sz w:val="20"/>
          <w:szCs w:val="20"/>
        </w:rPr>
      </w:pPr>
      <w:r>
        <w:rPr>
          <w:rFonts w:ascii="Arial" w:hAnsi="Arial" w:cs="Arial"/>
          <w:sz w:val="20"/>
          <w:szCs w:val="20"/>
        </w:rPr>
        <w:t>4</w:t>
      </w:r>
      <w:r w:rsidR="000E6D9D" w:rsidRPr="00BC3B0C">
        <w:rPr>
          <w:rFonts w:ascii="Arial" w:hAnsi="Arial" w:cs="Arial"/>
          <w:sz w:val="20"/>
          <w:szCs w:val="20"/>
        </w:rPr>
        <w:t>.</w:t>
      </w:r>
      <w:r w:rsidR="000E6D9D" w:rsidRPr="00BC3B0C">
        <w:rPr>
          <w:rFonts w:ascii="Arial" w:hAnsi="Arial" w:cs="Arial"/>
          <w:sz w:val="20"/>
          <w:szCs w:val="20"/>
        </w:rPr>
        <w:tab/>
        <w:t xml:space="preserve">Aniž by tím bylo dotčeno právo </w:t>
      </w:r>
      <w:r w:rsidR="00314AC3">
        <w:rPr>
          <w:rFonts w:ascii="Arial" w:hAnsi="Arial" w:cs="Arial"/>
          <w:sz w:val="20"/>
          <w:szCs w:val="20"/>
        </w:rPr>
        <w:t>smluvní strany</w:t>
      </w:r>
      <w:r w:rsidR="000E6D9D" w:rsidRPr="00BC3B0C">
        <w:rPr>
          <w:rFonts w:ascii="Arial" w:hAnsi="Arial" w:cs="Arial"/>
          <w:sz w:val="20"/>
          <w:szCs w:val="20"/>
        </w:rPr>
        <w:t xml:space="preserve"> odstoupit od této smlouvy o dodávkách podle </w:t>
      </w:r>
      <w:r w:rsidR="001274B1" w:rsidRPr="00BC3B0C">
        <w:rPr>
          <w:rFonts w:ascii="Arial" w:hAnsi="Arial" w:cs="Arial"/>
          <w:sz w:val="20"/>
          <w:szCs w:val="20"/>
        </w:rPr>
        <w:t>předchozího</w:t>
      </w:r>
      <w:r w:rsidR="000E6D9D" w:rsidRPr="00BC3B0C">
        <w:rPr>
          <w:rFonts w:ascii="Arial" w:hAnsi="Arial" w:cs="Arial"/>
          <w:sz w:val="20"/>
          <w:szCs w:val="20"/>
        </w:rPr>
        <w:t xml:space="preserve"> </w:t>
      </w:r>
      <w:r w:rsidR="00143171" w:rsidRPr="00BC3B0C">
        <w:rPr>
          <w:rFonts w:ascii="Arial" w:hAnsi="Arial" w:cs="Arial"/>
          <w:sz w:val="20"/>
          <w:szCs w:val="20"/>
        </w:rPr>
        <w:t>bodu</w:t>
      </w:r>
      <w:r w:rsidR="000E6D9D" w:rsidRPr="00BC3B0C">
        <w:rPr>
          <w:rFonts w:ascii="Arial" w:hAnsi="Arial" w:cs="Arial"/>
          <w:sz w:val="20"/>
          <w:szCs w:val="20"/>
        </w:rPr>
        <w:t xml:space="preserve">, je </w:t>
      </w:r>
      <w:r w:rsidR="00314AC3">
        <w:rPr>
          <w:rFonts w:ascii="Arial" w:hAnsi="Arial" w:cs="Arial"/>
          <w:sz w:val="20"/>
          <w:szCs w:val="20"/>
        </w:rPr>
        <w:t>kterákoliv smluvní strana</w:t>
      </w:r>
      <w:r w:rsidR="001274B1" w:rsidRPr="00BC3B0C">
        <w:rPr>
          <w:rFonts w:ascii="Arial" w:hAnsi="Arial" w:cs="Arial"/>
          <w:sz w:val="20"/>
          <w:szCs w:val="20"/>
        </w:rPr>
        <w:t xml:space="preserve"> dále </w:t>
      </w:r>
      <w:r w:rsidR="000E6D9D" w:rsidRPr="00BC3B0C">
        <w:rPr>
          <w:rFonts w:ascii="Arial" w:hAnsi="Arial" w:cs="Arial"/>
          <w:sz w:val="20"/>
          <w:szCs w:val="20"/>
        </w:rPr>
        <w:t>oprávněn</w:t>
      </w:r>
      <w:r w:rsidR="00314AC3">
        <w:rPr>
          <w:rFonts w:ascii="Arial" w:hAnsi="Arial" w:cs="Arial"/>
          <w:sz w:val="20"/>
          <w:szCs w:val="20"/>
        </w:rPr>
        <w:t>a</w:t>
      </w:r>
      <w:r w:rsidR="000E6D9D" w:rsidRPr="00BC3B0C">
        <w:rPr>
          <w:rFonts w:ascii="Arial" w:hAnsi="Arial" w:cs="Arial"/>
          <w:sz w:val="20"/>
          <w:szCs w:val="20"/>
        </w:rPr>
        <w:t xml:space="preserve"> odstoupit od této </w:t>
      </w:r>
      <w:r w:rsidR="001274B1" w:rsidRPr="00BC3B0C">
        <w:rPr>
          <w:rFonts w:ascii="Arial" w:hAnsi="Arial" w:cs="Arial"/>
          <w:sz w:val="20"/>
          <w:szCs w:val="20"/>
        </w:rPr>
        <w:t>s</w:t>
      </w:r>
      <w:r w:rsidR="000E6D9D" w:rsidRPr="00BC3B0C">
        <w:rPr>
          <w:rFonts w:ascii="Arial" w:hAnsi="Arial" w:cs="Arial"/>
          <w:sz w:val="20"/>
          <w:szCs w:val="20"/>
        </w:rPr>
        <w:t xml:space="preserve">mlouvy </w:t>
      </w:r>
      <w:r w:rsidR="001274B1" w:rsidRPr="00BC3B0C">
        <w:rPr>
          <w:rFonts w:ascii="Arial" w:hAnsi="Arial" w:cs="Arial"/>
          <w:sz w:val="20"/>
          <w:szCs w:val="20"/>
        </w:rPr>
        <w:t>o dodávkách</w:t>
      </w:r>
      <w:r w:rsidR="000E6D9D" w:rsidRPr="00BC3B0C">
        <w:rPr>
          <w:rFonts w:ascii="Arial" w:hAnsi="Arial" w:cs="Arial"/>
          <w:sz w:val="20"/>
          <w:szCs w:val="20"/>
        </w:rPr>
        <w:t>, pokud</w:t>
      </w:r>
    </w:p>
    <w:p w14:paraId="3217B2FC" w14:textId="709CC3BA" w:rsidR="000E6D9D" w:rsidRPr="00BC3B0C" w:rsidRDefault="001274B1" w:rsidP="00752B30">
      <w:pPr>
        <w:spacing w:after="120"/>
        <w:ind w:left="851" w:hanging="425"/>
        <w:jc w:val="both"/>
        <w:rPr>
          <w:rFonts w:ascii="Arial" w:hAnsi="Arial" w:cs="Arial"/>
          <w:sz w:val="20"/>
          <w:szCs w:val="20"/>
        </w:rPr>
      </w:pPr>
      <w:r w:rsidRPr="00BC3B0C">
        <w:rPr>
          <w:rFonts w:ascii="Arial" w:hAnsi="Arial" w:cs="Arial"/>
          <w:sz w:val="20"/>
          <w:szCs w:val="20"/>
        </w:rPr>
        <w:t xml:space="preserve">a) </w:t>
      </w:r>
      <w:r w:rsidR="00752B30" w:rsidRPr="00BC3B0C">
        <w:rPr>
          <w:rFonts w:ascii="Arial" w:hAnsi="Arial" w:cs="Arial"/>
          <w:sz w:val="20"/>
          <w:szCs w:val="20"/>
        </w:rPr>
        <w:tab/>
      </w:r>
      <w:r w:rsidR="00314AC3">
        <w:rPr>
          <w:rFonts w:ascii="Arial" w:hAnsi="Arial" w:cs="Arial"/>
          <w:sz w:val="20"/>
          <w:szCs w:val="20"/>
        </w:rPr>
        <w:t>druhá smluvní strana</w:t>
      </w:r>
      <w:r w:rsidRPr="00BC3B0C">
        <w:rPr>
          <w:rFonts w:ascii="Arial" w:hAnsi="Arial" w:cs="Arial"/>
          <w:sz w:val="20"/>
          <w:szCs w:val="20"/>
        </w:rPr>
        <w:t xml:space="preserve"> </w:t>
      </w:r>
      <w:r w:rsidR="000E6D9D" w:rsidRPr="00BC3B0C">
        <w:rPr>
          <w:rFonts w:ascii="Arial" w:hAnsi="Arial" w:cs="Arial"/>
          <w:sz w:val="20"/>
          <w:szCs w:val="20"/>
        </w:rPr>
        <w:t>na sebe podá insolvenční návrh ve smyslu § 97 a násl. zák</w:t>
      </w:r>
      <w:r w:rsidR="00E37CC6" w:rsidRPr="00BC3B0C">
        <w:rPr>
          <w:rFonts w:ascii="Arial" w:hAnsi="Arial" w:cs="Arial"/>
          <w:sz w:val="20"/>
          <w:szCs w:val="20"/>
        </w:rPr>
        <w:t>ona</w:t>
      </w:r>
      <w:r w:rsidR="00752B30" w:rsidRPr="00BC3B0C">
        <w:rPr>
          <w:rFonts w:ascii="Arial" w:hAnsi="Arial" w:cs="Arial"/>
          <w:sz w:val="20"/>
          <w:szCs w:val="20"/>
        </w:rPr>
        <w:t xml:space="preserve"> č.</w:t>
      </w:r>
      <w:r w:rsidRPr="00BC3B0C">
        <w:rPr>
          <w:rFonts w:ascii="Arial" w:hAnsi="Arial" w:cs="Arial"/>
          <w:sz w:val="20"/>
          <w:szCs w:val="20"/>
        </w:rPr>
        <w:t xml:space="preserve"> 182/2006 Sb., o</w:t>
      </w:r>
      <w:r w:rsidR="002965E2">
        <w:rPr>
          <w:rFonts w:ascii="Arial" w:hAnsi="Arial" w:cs="Arial"/>
          <w:sz w:val="20"/>
          <w:szCs w:val="20"/>
        </w:rPr>
        <w:t> </w:t>
      </w:r>
      <w:r w:rsidRPr="00BC3B0C">
        <w:rPr>
          <w:rFonts w:ascii="Arial" w:hAnsi="Arial" w:cs="Arial"/>
          <w:sz w:val="20"/>
          <w:szCs w:val="20"/>
        </w:rPr>
        <w:t>úpadku a</w:t>
      </w:r>
      <w:r w:rsidR="00752B30" w:rsidRPr="00BC3B0C">
        <w:rPr>
          <w:rFonts w:ascii="Arial" w:hAnsi="Arial" w:cs="Arial"/>
          <w:sz w:val="20"/>
          <w:szCs w:val="20"/>
        </w:rPr>
        <w:t> </w:t>
      </w:r>
      <w:r w:rsidRPr="00BC3B0C">
        <w:rPr>
          <w:rFonts w:ascii="Arial" w:hAnsi="Arial" w:cs="Arial"/>
          <w:sz w:val="20"/>
          <w:szCs w:val="20"/>
        </w:rPr>
        <w:t>způsobech jeho řešení</w:t>
      </w:r>
      <w:r w:rsidR="00752B30" w:rsidRPr="00BC3B0C">
        <w:rPr>
          <w:rFonts w:ascii="Arial" w:hAnsi="Arial" w:cs="Arial"/>
          <w:sz w:val="20"/>
          <w:szCs w:val="20"/>
        </w:rPr>
        <w:t xml:space="preserve"> </w:t>
      </w:r>
      <w:r w:rsidRPr="00BC3B0C">
        <w:rPr>
          <w:rFonts w:ascii="Arial" w:hAnsi="Arial" w:cs="Arial"/>
          <w:sz w:val="20"/>
          <w:szCs w:val="20"/>
        </w:rPr>
        <w:t>(insolvenční zákon),</w:t>
      </w:r>
      <w:r w:rsidR="000E6D9D" w:rsidRPr="00BC3B0C">
        <w:rPr>
          <w:rFonts w:ascii="Arial" w:hAnsi="Arial" w:cs="Arial"/>
          <w:sz w:val="20"/>
          <w:szCs w:val="20"/>
        </w:rPr>
        <w:t xml:space="preserve"> </w:t>
      </w:r>
      <w:r w:rsidR="00752B30" w:rsidRPr="00BC3B0C">
        <w:rPr>
          <w:rFonts w:ascii="Arial" w:hAnsi="Arial" w:cs="Arial"/>
          <w:sz w:val="20"/>
          <w:szCs w:val="20"/>
        </w:rPr>
        <w:t>ve znění pozdějších předpisů (dále jen „</w:t>
      </w:r>
      <w:r w:rsidR="00752B30" w:rsidRPr="002965E2">
        <w:rPr>
          <w:rFonts w:ascii="Arial" w:hAnsi="Arial" w:cs="Arial"/>
          <w:b/>
          <w:sz w:val="20"/>
          <w:szCs w:val="20"/>
        </w:rPr>
        <w:t>insolvenční zákon</w:t>
      </w:r>
      <w:r w:rsidR="00752B30" w:rsidRPr="00BC3B0C">
        <w:rPr>
          <w:rFonts w:ascii="Arial" w:hAnsi="Arial" w:cs="Arial"/>
          <w:sz w:val="20"/>
          <w:szCs w:val="20"/>
        </w:rPr>
        <w:t>“), a to pro úpadek nebo hrozící úpadek,</w:t>
      </w:r>
    </w:p>
    <w:p w14:paraId="523A3B79" w14:textId="490DB2CD" w:rsidR="000E6D9D" w:rsidRPr="00BC3B0C" w:rsidRDefault="00752B30" w:rsidP="00752B30">
      <w:pPr>
        <w:spacing w:after="120"/>
        <w:ind w:left="851" w:hanging="425"/>
        <w:jc w:val="both"/>
        <w:rPr>
          <w:rFonts w:ascii="Arial" w:hAnsi="Arial" w:cs="Arial"/>
          <w:sz w:val="20"/>
          <w:szCs w:val="20"/>
        </w:rPr>
      </w:pPr>
      <w:r w:rsidRPr="00BC3B0C">
        <w:rPr>
          <w:rFonts w:ascii="Arial" w:hAnsi="Arial" w:cs="Arial"/>
          <w:sz w:val="20"/>
          <w:szCs w:val="20"/>
        </w:rPr>
        <w:t>b)</w:t>
      </w:r>
      <w:r w:rsidRPr="00BC3B0C">
        <w:rPr>
          <w:rFonts w:ascii="Arial" w:hAnsi="Arial" w:cs="Arial"/>
          <w:sz w:val="20"/>
          <w:szCs w:val="20"/>
        </w:rPr>
        <w:tab/>
      </w:r>
      <w:r w:rsidR="000E6D9D" w:rsidRPr="00BC3B0C">
        <w:rPr>
          <w:rFonts w:ascii="Arial" w:hAnsi="Arial" w:cs="Arial"/>
          <w:sz w:val="20"/>
          <w:szCs w:val="20"/>
        </w:rPr>
        <w:t xml:space="preserve">insolvenční soud pravomocně rozhodne ve smyslu § 136 a násl. </w:t>
      </w:r>
      <w:r w:rsidRPr="00BC3B0C">
        <w:rPr>
          <w:rFonts w:ascii="Arial" w:hAnsi="Arial" w:cs="Arial"/>
          <w:sz w:val="20"/>
          <w:szCs w:val="20"/>
        </w:rPr>
        <w:t>i</w:t>
      </w:r>
      <w:r w:rsidR="000E6D9D" w:rsidRPr="00BC3B0C">
        <w:rPr>
          <w:rFonts w:ascii="Arial" w:hAnsi="Arial" w:cs="Arial"/>
          <w:sz w:val="20"/>
          <w:szCs w:val="20"/>
        </w:rPr>
        <w:t xml:space="preserve">nsolvenčního zákona o tom, že </w:t>
      </w:r>
      <w:r w:rsidR="00314AC3">
        <w:rPr>
          <w:rFonts w:ascii="Arial" w:hAnsi="Arial" w:cs="Arial"/>
          <w:sz w:val="20"/>
          <w:szCs w:val="20"/>
        </w:rPr>
        <w:t>druhá smluvní strana</w:t>
      </w:r>
      <w:r w:rsidRPr="00BC3B0C">
        <w:rPr>
          <w:rFonts w:ascii="Arial" w:hAnsi="Arial" w:cs="Arial"/>
          <w:sz w:val="20"/>
          <w:szCs w:val="20"/>
        </w:rPr>
        <w:t xml:space="preserve"> </w:t>
      </w:r>
      <w:r w:rsidR="000E6D9D" w:rsidRPr="00BC3B0C">
        <w:rPr>
          <w:rFonts w:ascii="Arial" w:hAnsi="Arial" w:cs="Arial"/>
          <w:sz w:val="20"/>
          <w:szCs w:val="20"/>
        </w:rPr>
        <w:t>je v úpadku</w:t>
      </w:r>
      <w:r w:rsidRPr="00BC3B0C">
        <w:rPr>
          <w:rFonts w:ascii="Arial" w:hAnsi="Arial" w:cs="Arial"/>
          <w:sz w:val="20"/>
          <w:szCs w:val="20"/>
        </w:rPr>
        <w:t>, nebo</w:t>
      </w:r>
    </w:p>
    <w:p w14:paraId="1F086734" w14:textId="2D91429B" w:rsidR="00752B30" w:rsidRPr="00BC3B0C" w:rsidRDefault="00752B30" w:rsidP="00752B30">
      <w:pPr>
        <w:spacing w:after="120"/>
        <w:ind w:left="851" w:hanging="425"/>
        <w:jc w:val="both"/>
        <w:rPr>
          <w:rFonts w:ascii="Arial" w:hAnsi="Arial" w:cs="Arial"/>
          <w:sz w:val="20"/>
          <w:szCs w:val="20"/>
        </w:rPr>
      </w:pPr>
      <w:r w:rsidRPr="00BC3B0C">
        <w:rPr>
          <w:rFonts w:ascii="Arial" w:hAnsi="Arial" w:cs="Arial"/>
          <w:sz w:val="20"/>
          <w:szCs w:val="20"/>
        </w:rPr>
        <w:lastRenderedPageBreak/>
        <w:t>c)</w:t>
      </w:r>
      <w:r w:rsidRPr="00BC3B0C">
        <w:rPr>
          <w:rFonts w:ascii="Arial" w:hAnsi="Arial" w:cs="Arial"/>
          <w:sz w:val="20"/>
          <w:szCs w:val="20"/>
        </w:rPr>
        <w:tab/>
      </w:r>
      <w:r w:rsidR="000E6D9D" w:rsidRPr="00BC3B0C">
        <w:rPr>
          <w:rFonts w:ascii="Arial" w:hAnsi="Arial" w:cs="Arial"/>
          <w:sz w:val="20"/>
          <w:szCs w:val="20"/>
        </w:rPr>
        <w:t xml:space="preserve">správce daně ve smyslu ustanovení § 106a </w:t>
      </w:r>
      <w:r w:rsidRPr="00BC3B0C">
        <w:rPr>
          <w:rFonts w:ascii="Arial" w:hAnsi="Arial" w:cs="Arial"/>
          <w:sz w:val="20"/>
          <w:szCs w:val="20"/>
        </w:rPr>
        <w:t>zák</w:t>
      </w:r>
      <w:r w:rsidR="00E37CC6" w:rsidRPr="00BC3B0C">
        <w:rPr>
          <w:rFonts w:ascii="Arial" w:hAnsi="Arial" w:cs="Arial"/>
          <w:sz w:val="20"/>
          <w:szCs w:val="20"/>
        </w:rPr>
        <w:t>ona</w:t>
      </w:r>
      <w:r w:rsidRPr="00BC3B0C">
        <w:rPr>
          <w:rFonts w:ascii="Arial" w:hAnsi="Arial" w:cs="Arial"/>
          <w:sz w:val="20"/>
          <w:szCs w:val="20"/>
        </w:rPr>
        <w:t xml:space="preserve"> č. 235/2004 Sb., o dani z přidané hodnoty, ve znění pozdějších předpisů</w:t>
      </w:r>
      <w:r w:rsidR="000E6D9D" w:rsidRPr="00BC3B0C">
        <w:rPr>
          <w:rFonts w:ascii="Arial" w:hAnsi="Arial" w:cs="Arial"/>
          <w:sz w:val="20"/>
          <w:szCs w:val="20"/>
        </w:rPr>
        <w:t xml:space="preserve"> </w:t>
      </w:r>
      <w:r w:rsidRPr="00BC3B0C">
        <w:rPr>
          <w:rFonts w:ascii="Arial" w:hAnsi="Arial" w:cs="Arial"/>
          <w:sz w:val="20"/>
          <w:szCs w:val="20"/>
        </w:rPr>
        <w:t xml:space="preserve">pravomocně rozhodne </w:t>
      </w:r>
      <w:r w:rsidR="000E6D9D" w:rsidRPr="00BC3B0C">
        <w:rPr>
          <w:rFonts w:ascii="Arial" w:hAnsi="Arial" w:cs="Arial"/>
          <w:sz w:val="20"/>
          <w:szCs w:val="20"/>
        </w:rPr>
        <w:t xml:space="preserve">o tom, že </w:t>
      </w:r>
      <w:r w:rsidR="00314AC3">
        <w:rPr>
          <w:rFonts w:ascii="Arial" w:hAnsi="Arial" w:cs="Arial"/>
          <w:sz w:val="20"/>
          <w:szCs w:val="20"/>
        </w:rPr>
        <w:t>druhá smluvní strana</w:t>
      </w:r>
      <w:r w:rsidRPr="00BC3B0C">
        <w:rPr>
          <w:rFonts w:ascii="Arial" w:hAnsi="Arial" w:cs="Arial"/>
          <w:sz w:val="20"/>
          <w:szCs w:val="20"/>
        </w:rPr>
        <w:t xml:space="preserve"> </w:t>
      </w:r>
      <w:r w:rsidR="000E6D9D" w:rsidRPr="00BC3B0C">
        <w:rPr>
          <w:rFonts w:ascii="Arial" w:hAnsi="Arial" w:cs="Arial"/>
          <w:sz w:val="20"/>
          <w:szCs w:val="20"/>
        </w:rPr>
        <w:t>je nespolehlivým plátcem</w:t>
      </w:r>
      <w:r w:rsidRPr="00BC3B0C">
        <w:rPr>
          <w:rFonts w:ascii="Arial" w:hAnsi="Arial" w:cs="Arial"/>
          <w:sz w:val="20"/>
          <w:szCs w:val="20"/>
        </w:rPr>
        <w:t>.</w:t>
      </w:r>
    </w:p>
    <w:p w14:paraId="206BEBFE" w14:textId="3C1C3A32" w:rsidR="0090119C" w:rsidRPr="00BC3B0C" w:rsidRDefault="0078296C" w:rsidP="00541C2F">
      <w:pPr>
        <w:spacing w:after="120"/>
        <w:ind w:left="397" w:hanging="397"/>
        <w:jc w:val="both"/>
        <w:rPr>
          <w:rFonts w:ascii="Arial" w:hAnsi="Arial" w:cs="Arial"/>
          <w:sz w:val="20"/>
          <w:szCs w:val="20"/>
        </w:rPr>
      </w:pPr>
      <w:r>
        <w:rPr>
          <w:rFonts w:ascii="Arial" w:hAnsi="Arial" w:cs="Arial"/>
          <w:sz w:val="20"/>
          <w:szCs w:val="20"/>
        </w:rPr>
        <w:t>5</w:t>
      </w:r>
      <w:r w:rsidR="0090119C" w:rsidRPr="00BC3B0C">
        <w:rPr>
          <w:rFonts w:ascii="Arial" w:hAnsi="Arial" w:cs="Arial"/>
          <w:sz w:val="20"/>
          <w:szCs w:val="20"/>
        </w:rPr>
        <w:t>.</w:t>
      </w:r>
      <w:r w:rsidR="0090119C" w:rsidRPr="00BC3B0C">
        <w:rPr>
          <w:rFonts w:ascii="Arial" w:hAnsi="Arial" w:cs="Arial"/>
          <w:sz w:val="20"/>
          <w:szCs w:val="20"/>
        </w:rPr>
        <w:tab/>
      </w:r>
      <w:r>
        <w:rPr>
          <w:rFonts w:ascii="Arial" w:hAnsi="Arial" w:cs="Arial"/>
          <w:sz w:val="20"/>
          <w:szCs w:val="20"/>
        </w:rPr>
        <w:t>Nedohodnou-li se s</w:t>
      </w:r>
      <w:r w:rsidR="0090119C" w:rsidRPr="00BC3B0C">
        <w:rPr>
          <w:rFonts w:ascii="Arial" w:hAnsi="Arial" w:cs="Arial"/>
          <w:sz w:val="20"/>
          <w:szCs w:val="20"/>
        </w:rPr>
        <w:t xml:space="preserve">mluvní strany </w:t>
      </w:r>
      <w:r>
        <w:rPr>
          <w:rFonts w:ascii="Arial" w:hAnsi="Arial" w:cs="Arial"/>
          <w:sz w:val="20"/>
          <w:szCs w:val="20"/>
        </w:rPr>
        <w:t>jinak, zavazují se</w:t>
      </w:r>
      <w:r w:rsidR="0090119C" w:rsidRPr="00BC3B0C">
        <w:rPr>
          <w:rFonts w:ascii="Arial" w:hAnsi="Arial" w:cs="Arial"/>
          <w:sz w:val="20"/>
          <w:szCs w:val="20"/>
        </w:rPr>
        <w:t xml:space="preserve"> do 30 </w:t>
      </w:r>
      <w:r w:rsidR="00307600" w:rsidRPr="00BC3B0C">
        <w:rPr>
          <w:rFonts w:ascii="Arial" w:hAnsi="Arial" w:cs="Arial"/>
          <w:sz w:val="20"/>
          <w:szCs w:val="20"/>
        </w:rPr>
        <w:t xml:space="preserve">kalendářních </w:t>
      </w:r>
      <w:r w:rsidR="0090119C" w:rsidRPr="00BC3B0C">
        <w:rPr>
          <w:rFonts w:ascii="Arial" w:hAnsi="Arial" w:cs="Arial"/>
          <w:sz w:val="20"/>
          <w:szCs w:val="20"/>
        </w:rPr>
        <w:t xml:space="preserve">dnů po skončení smluvního vztahu </w:t>
      </w:r>
      <w:r w:rsidR="00093B16" w:rsidRPr="00BC3B0C">
        <w:rPr>
          <w:rFonts w:ascii="Arial" w:hAnsi="Arial" w:cs="Arial"/>
          <w:sz w:val="20"/>
          <w:szCs w:val="20"/>
        </w:rPr>
        <w:t xml:space="preserve">podle této smlouvy </w:t>
      </w:r>
      <w:r w:rsidR="00D97D79" w:rsidRPr="00BC3B0C">
        <w:rPr>
          <w:rFonts w:ascii="Arial" w:hAnsi="Arial" w:cs="Arial"/>
          <w:sz w:val="20"/>
          <w:szCs w:val="20"/>
        </w:rPr>
        <w:t>o</w:t>
      </w:r>
      <w:r w:rsidR="00D97D79">
        <w:rPr>
          <w:rFonts w:ascii="Arial" w:hAnsi="Arial" w:cs="Arial"/>
          <w:sz w:val="20"/>
          <w:szCs w:val="20"/>
        </w:rPr>
        <w:t> </w:t>
      </w:r>
      <w:r w:rsidR="00093B16" w:rsidRPr="00BC3B0C">
        <w:rPr>
          <w:rFonts w:ascii="Arial" w:hAnsi="Arial" w:cs="Arial"/>
          <w:sz w:val="20"/>
          <w:szCs w:val="20"/>
        </w:rPr>
        <w:t xml:space="preserve">dodávkách </w:t>
      </w:r>
      <w:r w:rsidR="0090119C" w:rsidRPr="00BC3B0C">
        <w:rPr>
          <w:rFonts w:ascii="Arial" w:hAnsi="Arial" w:cs="Arial"/>
          <w:sz w:val="20"/>
          <w:szCs w:val="20"/>
        </w:rPr>
        <w:t xml:space="preserve">vypořádat </w:t>
      </w:r>
      <w:r>
        <w:rPr>
          <w:rFonts w:ascii="Arial" w:hAnsi="Arial" w:cs="Arial"/>
          <w:sz w:val="20"/>
          <w:szCs w:val="20"/>
        </w:rPr>
        <w:t>svá</w:t>
      </w:r>
      <w:r w:rsidR="0090119C" w:rsidRPr="00BC3B0C">
        <w:rPr>
          <w:rFonts w:ascii="Arial" w:hAnsi="Arial" w:cs="Arial"/>
          <w:sz w:val="20"/>
          <w:szCs w:val="20"/>
        </w:rPr>
        <w:t xml:space="preserve"> </w:t>
      </w:r>
      <w:r w:rsidR="0008701B">
        <w:rPr>
          <w:rFonts w:ascii="Arial" w:hAnsi="Arial" w:cs="Arial"/>
          <w:sz w:val="20"/>
          <w:szCs w:val="20"/>
        </w:rPr>
        <w:t>vzájemná práva a povinnosti</w:t>
      </w:r>
      <w:r w:rsidR="0090119C" w:rsidRPr="00BC3B0C">
        <w:rPr>
          <w:rFonts w:ascii="Arial" w:hAnsi="Arial" w:cs="Arial"/>
          <w:sz w:val="20"/>
          <w:szCs w:val="20"/>
        </w:rPr>
        <w:t>.</w:t>
      </w:r>
    </w:p>
    <w:p w14:paraId="6749284B" w14:textId="2684C07A" w:rsidR="00261D61" w:rsidRPr="00A4424A" w:rsidRDefault="00EF52FD" w:rsidP="009543B9">
      <w:pPr>
        <w:keepNext/>
        <w:spacing w:before="480" w:after="240"/>
        <w:jc w:val="center"/>
        <w:rPr>
          <w:rFonts w:ascii="Arial" w:hAnsi="Arial" w:cs="Arial"/>
          <w:b/>
          <w:sz w:val="20"/>
          <w:szCs w:val="20"/>
        </w:rPr>
      </w:pPr>
      <w:r w:rsidRPr="00A4424A">
        <w:rPr>
          <w:rFonts w:ascii="Arial" w:hAnsi="Arial" w:cs="Arial"/>
          <w:b/>
          <w:spacing w:val="60"/>
          <w:sz w:val="20"/>
          <w:szCs w:val="20"/>
        </w:rPr>
        <w:t>Čl</w:t>
      </w:r>
      <w:r w:rsidR="00261D61" w:rsidRPr="00A4424A">
        <w:rPr>
          <w:rFonts w:ascii="Arial" w:hAnsi="Arial" w:cs="Arial"/>
          <w:b/>
          <w:spacing w:val="60"/>
          <w:sz w:val="20"/>
          <w:szCs w:val="20"/>
        </w:rPr>
        <w:t>á</w:t>
      </w:r>
      <w:r w:rsidRPr="00A4424A">
        <w:rPr>
          <w:rFonts w:ascii="Arial" w:hAnsi="Arial" w:cs="Arial"/>
          <w:b/>
          <w:spacing w:val="60"/>
          <w:sz w:val="20"/>
          <w:szCs w:val="20"/>
        </w:rPr>
        <w:t>ne</w:t>
      </w:r>
      <w:r w:rsidR="00261D61" w:rsidRPr="00A4424A">
        <w:rPr>
          <w:rFonts w:ascii="Arial" w:hAnsi="Arial" w:cs="Arial"/>
          <w:b/>
          <w:spacing w:val="60"/>
          <w:sz w:val="20"/>
          <w:szCs w:val="20"/>
        </w:rPr>
        <w:t>k</w:t>
      </w:r>
      <w:r w:rsidR="00F12A71">
        <w:rPr>
          <w:rFonts w:ascii="Arial" w:hAnsi="Arial" w:cs="Arial"/>
          <w:b/>
          <w:spacing w:val="60"/>
          <w:sz w:val="20"/>
          <w:szCs w:val="20"/>
        </w:rPr>
        <w:t xml:space="preserve"> 10</w:t>
      </w:r>
      <w:r w:rsidR="004D7DA1" w:rsidRPr="00A4424A">
        <w:rPr>
          <w:rFonts w:ascii="Arial" w:hAnsi="Arial" w:cs="Arial"/>
          <w:b/>
          <w:spacing w:val="60"/>
          <w:sz w:val="20"/>
          <w:szCs w:val="20"/>
        </w:rPr>
        <w:br/>
      </w:r>
      <w:r w:rsidR="00261D61" w:rsidRPr="00A4424A">
        <w:rPr>
          <w:rFonts w:ascii="Arial" w:hAnsi="Arial" w:cs="Arial"/>
          <w:b/>
          <w:sz w:val="20"/>
          <w:szCs w:val="20"/>
        </w:rPr>
        <w:t>Závěrečná ustanovení</w:t>
      </w:r>
    </w:p>
    <w:p w14:paraId="0295CCF3" w14:textId="73E61383" w:rsidR="00261D61" w:rsidRPr="00BC3B0C" w:rsidRDefault="00261D61" w:rsidP="005E57D9">
      <w:pPr>
        <w:spacing w:after="120"/>
        <w:ind w:left="397" w:hanging="397"/>
        <w:jc w:val="both"/>
        <w:rPr>
          <w:rFonts w:ascii="Arial" w:hAnsi="Arial" w:cs="Arial"/>
          <w:sz w:val="20"/>
          <w:szCs w:val="20"/>
        </w:rPr>
      </w:pPr>
      <w:r w:rsidRPr="00BC3B0C">
        <w:rPr>
          <w:rFonts w:ascii="Arial" w:hAnsi="Arial" w:cs="Arial"/>
          <w:sz w:val="20"/>
          <w:szCs w:val="20"/>
        </w:rPr>
        <w:t>1.</w:t>
      </w:r>
      <w:r w:rsidRPr="00BC3B0C">
        <w:rPr>
          <w:rFonts w:ascii="Arial" w:hAnsi="Arial" w:cs="Arial"/>
          <w:sz w:val="20"/>
          <w:szCs w:val="20"/>
        </w:rPr>
        <w:tab/>
      </w:r>
      <w:r w:rsidR="008B756D" w:rsidRPr="00BC3B0C">
        <w:rPr>
          <w:rFonts w:ascii="Arial" w:hAnsi="Arial" w:cs="Arial"/>
          <w:sz w:val="20"/>
          <w:szCs w:val="20"/>
        </w:rPr>
        <w:t xml:space="preserve">Tato smlouva </w:t>
      </w:r>
      <w:r w:rsidR="00143171" w:rsidRPr="00BC3B0C">
        <w:rPr>
          <w:rFonts w:ascii="Arial" w:hAnsi="Arial" w:cs="Arial"/>
          <w:sz w:val="20"/>
          <w:szCs w:val="20"/>
        </w:rPr>
        <w:t xml:space="preserve">o dodávkách </w:t>
      </w:r>
      <w:r w:rsidR="00727523" w:rsidRPr="00BC3B0C">
        <w:rPr>
          <w:rFonts w:ascii="Arial" w:hAnsi="Arial" w:cs="Arial"/>
          <w:sz w:val="20"/>
          <w:szCs w:val="20"/>
        </w:rPr>
        <w:t xml:space="preserve">se uzavírá na dobu </w:t>
      </w:r>
      <w:r w:rsidR="0078296C">
        <w:rPr>
          <w:rFonts w:ascii="Arial" w:hAnsi="Arial" w:cs="Arial"/>
          <w:sz w:val="20"/>
          <w:szCs w:val="20"/>
        </w:rPr>
        <w:t>jednoho kalendářního roku</w:t>
      </w:r>
      <w:r w:rsidR="00FE0785" w:rsidRPr="00BC3B0C">
        <w:rPr>
          <w:rFonts w:ascii="Arial" w:hAnsi="Arial" w:cs="Arial"/>
          <w:sz w:val="20"/>
          <w:szCs w:val="20"/>
        </w:rPr>
        <w:t xml:space="preserve"> a nabývá </w:t>
      </w:r>
      <w:r w:rsidR="00C674DD" w:rsidRPr="00C674DD">
        <w:rPr>
          <w:rFonts w:ascii="Arial" w:hAnsi="Arial" w:cs="Arial"/>
          <w:sz w:val="20"/>
          <w:szCs w:val="20"/>
        </w:rPr>
        <w:t xml:space="preserve">platnosti a </w:t>
      </w:r>
      <w:r w:rsidR="00C542D1">
        <w:rPr>
          <w:rFonts w:ascii="Arial" w:hAnsi="Arial" w:cs="Arial"/>
          <w:sz w:val="20"/>
          <w:szCs w:val="20"/>
        </w:rPr>
        <w:t xml:space="preserve">účinnosti dnem </w:t>
      </w:r>
      <w:r w:rsidR="00C674DD" w:rsidRPr="00C674DD">
        <w:rPr>
          <w:rFonts w:ascii="Arial" w:hAnsi="Arial" w:cs="Arial"/>
          <w:sz w:val="20"/>
          <w:szCs w:val="20"/>
        </w:rPr>
        <w:t>jejího podpisu oběma smluvními stranami, nevyplývá-li z právních předpisů jiný okamžik nabytí její platnosti anebo účinnosti</w:t>
      </w:r>
      <w:r w:rsidR="00C542D1">
        <w:rPr>
          <w:rFonts w:ascii="Arial" w:hAnsi="Arial" w:cs="Arial"/>
          <w:sz w:val="20"/>
          <w:szCs w:val="20"/>
        </w:rPr>
        <w:t>.</w:t>
      </w:r>
      <w:r w:rsidR="0078296C">
        <w:rPr>
          <w:rFonts w:ascii="Arial" w:hAnsi="Arial" w:cs="Arial"/>
          <w:sz w:val="20"/>
          <w:szCs w:val="20"/>
        </w:rPr>
        <w:t xml:space="preserve"> Smluvní strany se dohodly, že se tato smlouva o dodávkách automaticky prodlužuje, a</w:t>
      </w:r>
      <w:r w:rsidR="0082060C">
        <w:rPr>
          <w:rFonts w:ascii="Arial" w:hAnsi="Arial" w:cs="Arial"/>
          <w:sz w:val="20"/>
          <w:szCs w:val="20"/>
        </w:rPr>
        <w:t> </w:t>
      </w:r>
      <w:r w:rsidR="0078296C">
        <w:rPr>
          <w:rFonts w:ascii="Arial" w:hAnsi="Arial" w:cs="Arial"/>
          <w:sz w:val="20"/>
          <w:szCs w:val="20"/>
        </w:rPr>
        <w:t xml:space="preserve">to opakovaně, o dobu dalšího jednoho kalendářního roku, pokud kterákoliv smluvní strana nedoručí </w:t>
      </w:r>
      <w:r w:rsidR="0082060C">
        <w:rPr>
          <w:rFonts w:ascii="Arial" w:hAnsi="Arial" w:cs="Arial"/>
          <w:sz w:val="20"/>
          <w:szCs w:val="20"/>
        </w:rPr>
        <w:t xml:space="preserve">nejpozději do 31. 3. příslušného roku účinnosti této smlouvy o dodávkách </w:t>
      </w:r>
      <w:r w:rsidR="0078296C">
        <w:rPr>
          <w:rFonts w:ascii="Arial" w:hAnsi="Arial" w:cs="Arial"/>
          <w:sz w:val="20"/>
          <w:szCs w:val="20"/>
        </w:rPr>
        <w:t xml:space="preserve">druhé smluvní straně </w:t>
      </w:r>
      <w:r w:rsidR="0082060C">
        <w:rPr>
          <w:rFonts w:ascii="Arial" w:hAnsi="Arial" w:cs="Arial"/>
          <w:sz w:val="20"/>
          <w:szCs w:val="20"/>
        </w:rPr>
        <w:t>písemné oznámení o tom, že na prodloužení této smlouvy o dodávkách netrvá</w:t>
      </w:r>
      <w:r w:rsidR="00B85408">
        <w:rPr>
          <w:rFonts w:ascii="Arial" w:hAnsi="Arial" w:cs="Arial"/>
          <w:sz w:val="20"/>
          <w:szCs w:val="20"/>
        </w:rPr>
        <w:t>.</w:t>
      </w:r>
    </w:p>
    <w:p w14:paraId="7A833188" w14:textId="77777777" w:rsidR="00727523" w:rsidRPr="00BC3B0C" w:rsidRDefault="008447AB" w:rsidP="00727523">
      <w:pPr>
        <w:spacing w:after="120"/>
        <w:ind w:left="397" w:hanging="397"/>
        <w:jc w:val="both"/>
        <w:rPr>
          <w:rFonts w:ascii="Arial" w:hAnsi="Arial" w:cs="Arial"/>
          <w:sz w:val="20"/>
          <w:szCs w:val="20"/>
        </w:rPr>
      </w:pPr>
      <w:r w:rsidRPr="00BC3B0C">
        <w:rPr>
          <w:rFonts w:ascii="Arial" w:hAnsi="Arial" w:cs="Arial"/>
          <w:sz w:val="20"/>
          <w:szCs w:val="20"/>
        </w:rPr>
        <w:t>2</w:t>
      </w:r>
      <w:r w:rsidR="00727523" w:rsidRPr="00BC3B0C">
        <w:rPr>
          <w:rFonts w:ascii="Arial" w:hAnsi="Arial" w:cs="Arial"/>
          <w:sz w:val="20"/>
          <w:szCs w:val="20"/>
        </w:rPr>
        <w:t>.</w:t>
      </w:r>
      <w:r w:rsidR="00727523" w:rsidRPr="00BC3B0C">
        <w:rPr>
          <w:rFonts w:ascii="Arial" w:hAnsi="Arial" w:cs="Arial"/>
          <w:sz w:val="20"/>
          <w:szCs w:val="20"/>
        </w:rPr>
        <w:tab/>
        <w:t xml:space="preserve">Smluvní strany </w:t>
      </w:r>
      <w:r w:rsidR="001617D8" w:rsidRPr="00BC3B0C">
        <w:rPr>
          <w:rFonts w:ascii="Arial" w:hAnsi="Arial" w:cs="Arial"/>
          <w:sz w:val="20"/>
          <w:szCs w:val="20"/>
        </w:rPr>
        <w:t>se dohodly</w:t>
      </w:r>
      <w:r w:rsidR="00727523" w:rsidRPr="00BC3B0C">
        <w:rPr>
          <w:rFonts w:ascii="Arial" w:hAnsi="Arial" w:cs="Arial"/>
          <w:sz w:val="20"/>
          <w:szCs w:val="20"/>
        </w:rPr>
        <w:t xml:space="preserve">, že ke dni </w:t>
      </w:r>
      <w:r w:rsidR="00750222" w:rsidRPr="00BC3B0C">
        <w:rPr>
          <w:rFonts w:ascii="Arial" w:hAnsi="Arial" w:cs="Arial"/>
          <w:sz w:val="20"/>
          <w:szCs w:val="20"/>
        </w:rPr>
        <w:t>účinnosti</w:t>
      </w:r>
      <w:r w:rsidR="00727523" w:rsidRPr="00BC3B0C">
        <w:rPr>
          <w:rFonts w:ascii="Arial" w:hAnsi="Arial" w:cs="Arial"/>
          <w:sz w:val="20"/>
          <w:szCs w:val="20"/>
        </w:rPr>
        <w:t xml:space="preserve"> této smlouvy </w:t>
      </w:r>
      <w:r w:rsidR="001617D8" w:rsidRPr="00BC3B0C">
        <w:rPr>
          <w:rFonts w:ascii="Arial" w:hAnsi="Arial" w:cs="Arial"/>
          <w:sz w:val="20"/>
          <w:szCs w:val="20"/>
        </w:rPr>
        <w:t xml:space="preserve">o dodávkách </w:t>
      </w:r>
      <w:r w:rsidR="00727523" w:rsidRPr="00BC3B0C">
        <w:rPr>
          <w:rFonts w:ascii="Arial" w:hAnsi="Arial" w:cs="Arial"/>
          <w:sz w:val="20"/>
          <w:szCs w:val="20"/>
        </w:rPr>
        <w:t xml:space="preserve">se </w:t>
      </w:r>
      <w:r w:rsidR="001617D8" w:rsidRPr="00BC3B0C">
        <w:rPr>
          <w:rFonts w:ascii="Arial" w:hAnsi="Arial" w:cs="Arial"/>
          <w:sz w:val="20"/>
          <w:szCs w:val="20"/>
        </w:rPr>
        <w:t xml:space="preserve">tímto </w:t>
      </w:r>
      <w:r w:rsidR="00727523" w:rsidRPr="00BC3B0C">
        <w:rPr>
          <w:rFonts w:ascii="Arial" w:hAnsi="Arial" w:cs="Arial"/>
          <w:sz w:val="20"/>
          <w:szCs w:val="20"/>
        </w:rPr>
        <w:t xml:space="preserve">ruší veškerá případná ujednání a dohody, které by se týkaly shodného </w:t>
      </w:r>
      <w:r w:rsidR="001617D8" w:rsidRPr="00BC3B0C">
        <w:rPr>
          <w:rFonts w:ascii="Arial" w:hAnsi="Arial" w:cs="Arial"/>
          <w:sz w:val="20"/>
          <w:szCs w:val="20"/>
        </w:rPr>
        <w:t xml:space="preserve">či obdobného </w:t>
      </w:r>
      <w:r w:rsidR="00727523" w:rsidRPr="00BC3B0C">
        <w:rPr>
          <w:rFonts w:ascii="Arial" w:hAnsi="Arial" w:cs="Arial"/>
          <w:sz w:val="20"/>
          <w:szCs w:val="20"/>
        </w:rPr>
        <w:t>předmětu plnění</w:t>
      </w:r>
      <w:r w:rsidR="001617D8" w:rsidRPr="00BC3B0C">
        <w:rPr>
          <w:rFonts w:ascii="Arial" w:hAnsi="Arial" w:cs="Arial"/>
          <w:sz w:val="20"/>
          <w:szCs w:val="20"/>
        </w:rPr>
        <w:t>,</w:t>
      </w:r>
      <w:r w:rsidR="00727523" w:rsidRPr="00BC3B0C">
        <w:rPr>
          <w:rFonts w:ascii="Arial" w:hAnsi="Arial" w:cs="Arial"/>
          <w:sz w:val="20"/>
          <w:szCs w:val="20"/>
        </w:rPr>
        <w:t xml:space="preserve"> a </w:t>
      </w:r>
      <w:r w:rsidR="001617D8" w:rsidRPr="00BC3B0C">
        <w:rPr>
          <w:rFonts w:ascii="Arial" w:hAnsi="Arial" w:cs="Arial"/>
          <w:sz w:val="20"/>
          <w:szCs w:val="20"/>
        </w:rPr>
        <w:t xml:space="preserve">že </w:t>
      </w:r>
      <w:r w:rsidR="00727523" w:rsidRPr="00BC3B0C">
        <w:rPr>
          <w:rFonts w:ascii="Arial" w:hAnsi="Arial" w:cs="Arial"/>
          <w:sz w:val="20"/>
          <w:szCs w:val="20"/>
        </w:rPr>
        <w:t>tyto jsou v plném rozsahu nahrazeny ujednáními obsaženými v této smlouvě</w:t>
      </w:r>
      <w:r w:rsidR="001617D8" w:rsidRPr="00BC3B0C">
        <w:rPr>
          <w:rFonts w:ascii="Arial" w:hAnsi="Arial" w:cs="Arial"/>
          <w:sz w:val="20"/>
          <w:szCs w:val="20"/>
        </w:rPr>
        <w:t xml:space="preserve"> o dodávkách</w:t>
      </w:r>
      <w:r w:rsidR="00727523" w:rsidRPr="00BC3B0C">
        <w:rPr>
          <w:rFonts w:ascii="Arial" w:hAnsi="Arial" w:cs="Arial"/>
          <w:sz w:val="20"/>
          <w:szCs w:val="20"/>
        </w:rPr>
        <w:t xml:space="preserve">, tj. neexistuje žádné jiné ujednání, které by tuto smlouvu </w:t>
      </w:r>
      <w:r w:rsidR="001617D8" w:rsidRPr="00BC3B0C">
        <w:rPr>
          <w:rFonts w:ascii="Arial" w:hAnsi="Arial" w:cs="Arial"/>
          <w:sz w:val="20"/>
          <w:szCs w:val="20"/>
        </w:rPr>
        <w:t xml:space="preserve">o dodávkách </w:t>
      </w:r>
      <w:r w:rsidR="00727523" w:rsidRPr="00BC3B0C">
        <w:rPr>
          <w:rFonts w:ascii="Arial" w:hAnsi="Arial" w:cs="Arial"/>
          <w:sz w:val="20"/>
          <w:szCs w:val="20"/>
        </w:rPr>
        <w:t>doplňovalo nebo měnilo.</w:t>
      </w:r>
    </w:p>
    <w:p w14:paraId="1610186F" w14:textId="38330707" w:rsidR="00727523" w:rsidRPr="00BC3B0C" w:rsidRDefault="00303899" w:rsidP="00727523">
      <w:pPr>
        <w:spacing w:after="120"/>
        <w:ind w:left="397" w:hanging="397"/>
        <w:jc w:val="both"/>
        <w:rPr>
          <w:rFonts w:ascii="Arial" w:hAnsi="Arial" w:cs="Arial"/>
          <w:sz w:val="20"/>
          <w:szCs w:val="20"/>
        </w:rPr>
      </w:pPr>
      <w:r w:rsidRPr="00BC3B0C">
        <w:rPr>
          <w:rFonts w:ascii="Arial" w:hAnsi="Arial" w:cs="Arial"/>
          <w:sz w:val="20"/>
          <w:szCs w:val="20"/>
        </w:rPr>
        <w:t>3</w:t>
      </w:r>
      <w:r w:rsidR="00727523" w:rsidRPr="00BC3B0C">
        <w:rPr>
          <w:rFonts w:ascii="Arial" w:hAnsi="Arial" w:cs="Arial"/>
          <w:sz w:val="20"/>
          <w:szCs w:val="20"/>
        </w:rPr>
        <w:t>.</w:t>
      </w:r>
      <w:r w:rsidR="00727523" w:rsidRPr="00BC3B0C">
        <w:rPr>
          <w:rFonts w:ascii="Arial" w:hAnsi="Arial" w:cs="Arial"/>
          <w:sz w:val="20"/>
          <w:szCs w:val="20"/>
        </w:rPr>
        <w:tab/>
        <w:t>Jakékoliv písemnosti předvídané v této smlouvě</w:t>
      </w:r>
      <w:r w:rsidR="00307EBF" w:rsidRPr="00BC3B0C">
        <w:rPr>
          <w:rFonts w:ascii="Arial" w:hAnsi="Arial" w:cs="Arial"/>
          <w:sz w:val="20"/>
          <w:szCs w:val="20"/>
        </w:rPr>
        <w:t xml:space="preserve"> </w:t>
      </w:r>
      <w:r w:rsidRPr="00BC3B0C">
        <w:rPr>
          <w:rFonts w:ascii="Arial" w:hAnsi="Arial" w:cs="Arial"/>
          <w:sz w:val="20"/>
          <w:szCs w:val="20"/>
        </w:rPr>
        <w:t xml:space="preserve">o dodávkách </w:t>
      </w:r>
      <w:r w:rsidR="00307EBF" w:rsidRPr="00BC3B0C">
        <w:rPr>
          <w:rFonts w:ascii="Arial" w:hAnsi="Arial" w:cs="Arial"/>
          <w:sz w:val="20"/>
          <w:szCs w:val="20"/>
        </w:rPr>
        <w:t>musí být učiněny, není-li v této</w:t>
      </w:r>
      <w:r w:rsidR="00727523" w:rsidRPr="00BC3B0C">
        <w:rPr>
          <w:rFonts w:ascii="Arial" w:hAnsi="Arial" w:cs="Arial"/>
          <w:sz w:val="20"/>
          <w:szCs w:val="20"/>
        </w:rPr>
        <w:t xml:space="preserve"> smlouvě </w:t>
      </w:r>
      <w:r w:rsidRPr="00BC3B0C">
        <w:rPr>
          <w:rFonts w:ascii="Arial" w:hAnsi="Arial" w:cs="Arial"/>
          <w:sz w:val="20"/>
          <w:szCs w:val="20"/>
        </w:rPr>
        <w:t xml:space="preserve">o dodávkách </w:t>
      </w:r>
      <w:r w:rsidR="00727523" w:rsidRPr="00BC3B0C">
        <w:rPr>
          <w:rFonts w:ascii="Arial" w:hAnsi="Arial" w:cs="Arial"/>
          <w:sz w:val="20"/>
          <w:szCs w:val="20"/>
        </w:rPr>
        <w:t>výslovně stanoveno jinak, písemně</w:t>
      </w:r>
      <w:r w:rsidR="0064263D" w:rsidRPr="00BC3B0C">
        <w:rPr>
          <w:rFonts w:ascii="Arial" w:hAnsi="Arial" w:cs="Arial"/>
          <w:sz w:val="20"/>
          <w:szCs w:val="20"/>
        </w:rPr>
        <w:t xml:space="preserve"> v listinné podobě a musí být s </w:t>
      </w:r>
      <w:r w:rsidR="00727523" w:rsidRPr="00BC3B0C">
        <w:rPr>
          <w:rFonts w:ascii="Arial" w:hAnsi="Arial" w:cs="Arial"/>
          <w:sz w:val="20"/>
          <w:szCs w:val="20"/>
        </w:rPr>
        <w:t xml:space="preserve">vyloučením § 566 občanského zákoníku řádně podepsány oprávněnými </w:t>
      </w:r>
      <w:r w:rsidRPr="00BC3B0C">
        <w:rPr>
          <w:rFonts w:ascii="Arial" w:hAnsi="Arial" w:cs="Arial"/>
          <w:sz w:val="20"/>
          <w:szCs w:val="20"/>
        </w:rPr>
        <w:t>zástupci smluvních stran</w:t>
      </w:r>
      <w:r w:rsidR="00727523" w:rsidRPr="00BC3B0C">
        <w:rPr>
          <w:rFonts w:ascii="Arial" w:hAnsi="Arial" w:cs="Arial"/>
          <w:sz w:val="20"/>
          <w:szCs w:val="20"/>
        </w:rPr>
        <w:t>. Jakékoliv jiné písemnosti</w:t>
      </w:r>
      <w:r w:rsidR="009C7E67">
        <w:rPr>
          <w:rFonts w:ascii="Arial" w:hAnsi="Arial" w:cs="Arial"/>
          <w:sz w:val="20"/>
          <w:szCs w:val="20"/>
        </w:rPr>
        <w:t xml:space="preserve"> učiněné v jiné</w:t>
      </w:r>
      <w:r w:rsidR="00D06278">
        <w:rPr>
          <w:rFonts w:ascii="Arial" w:hAnsi="Arial" w:cs="Arial"/>
          <w:sz w:val="20"/>
          <w:szCs w:val="20"/>
        </w:rPr>
        <w:t>,</w:t>
      </w:r>
      <w:r w:rsidR="009C7E67">
        <w:rPr>
          <w:rFonts w:ascii="Arial" w:hAnsi="Arial" w:cs="Arial"/>
          <w:sz w:val="20"/>
          <w:szCs w:val="20"/>
        </w:rPr>
        <w:t xml:space="preserve"> než listinné formě</w:t>
      </w:r>
      <w:r w:rsidR="00727523" w:rsidRPr="00BC3B0C">
        <w:rPr>
          <w:rFonts w:ascii="Arial" w:hAnsi="Arial" w:cs="Arial"/>
          <w:sz w:val="20"/>
          <w:szCs w:val="20"/>
        </w:rPr>
        <w:t xml:space="preserve"> jsou b</w:t>
      </w:r>
      <w:r w:rsidR="00E47704" w:rsidRPr="00BC3B0C">
        <w:rPr>
          <w:rFonts w:ascii="Arial" w:hAnsi="Arial" w:cs="Arial"/>
          <w:sz w:val="20"/>
          <w:szCs w:val="20"/>
        </w:rPr>
        <w:t>ez právního významu, není-li v této</w:t>
      </w:r>
      <w:r w:rsidR="0064263D" w:rsidRPr="00BC3B0C">
        <w:rPr>
          <w:rFonts w:ascii="Arial" w:hAnsi="Arial" w:cs="Arial"/>
          <w:sz w:val="20"/>
          <w:szCs w:val="20"/>
        </w:rPr>
        <w:t> </w:t>
      </w:r>
      <w:r w:rsidR="00727523" w:rsidRPr="00BC3B0C">
        <w:rPr>
          <w:rFonts w:ascii="Arial" w:hAnsi="Arial" w:cs="Arial"/>
          <w:sz w:val="20"/>
          <w:szCs w:val="20"/>
        </w:rPr>
        <w:t xml:space="preserve">smlouvě </w:t>
      </w:r>
      <w:r w:rsidRPr="00BC3B0C">
        <w:rPr>
          <w:rFonts w:ascii="Arial" w:hAnsi="Arial" w:cs="Arial"/>
          <w:sz w:val="20"/>
          <w:szCs w:val="20"/>
        </w:rPr>
        <w:t xml:space="preserve">o dodávkách </w:t>
      </w:r>
      <w:r w:rsidR="00727523" w:rsidRPr="00BC3B0C">
        <w:rPr>
          <w:rFonts w:ascii="Arial" w:hAnsi="Arial" w:cs="Arial"/>
          <w:sz w:val="20"/>
          <w:szCs w:val="20"/>
        </w:rPr>
        <w:t>výslovně stanoveno jinak.</w:t>
      </w:r>
    </w:p>
    <w:p w14:paraId="02860EB4" w14:textId="77777777" w:rsidR="00727523" w:rsidRPr="00BC3B0C" w:rsidRDefault="00303899" w:rsidP="00727523">
      <w:pPr>
        <w:spacing w:after="120"/>
        <w:ind w:left="397" w:hanging="397"/>
        <w:jc w:val="both"/>
        <w:rPr>
          <w:rFonts w:ascii="Arial" w:hAnsi="Arial" w:cs="Arial"/>
          <w:sz w:val="20"/>
          <w:szCs w:val="20"/>
        </w:rPr>
      </w:pPr>
      <w:r w:rsidRPr="00BC3B0C">
        <w:rPr>
          <w:rFonts w:ascii="Arial" w:hAnsi="Arial" w:cs="Arial"/>
          <w:sz w:val="20"/>
          <w:szCs w:val="20"/>
        </w:rPr>
        <w:t>4</w:t>
      </w:r>
      <w:r w:rsidR="00727523" w:rsidRPr="00BC3B0C">
        <w:rPr>
          <w:rFonts w:ascii="Arial" w:hAnsi="Arial" w:cs="Arial"/>
          <w:sz w:val="20"/>
          <w:szCs w:val="20"/>
        </w:rPr>
        <w:t>.</w:t>
      </w:r>
      <w:r w:rsidR="00727523" w:rsidRPr="00BC3B0C">
        <w:rPr>
          <w:rFonts w:ascii="Arial" w:hAnsi="Arial" w:cs="Arial"/>
          <w:sz w:val="20"/>
          <w:szCs w:val="20"/>
        </w:rPr>
        <w:tab/>
        <w:t xml:space="preserve">Veškeré změny nebo doplnění této smlouvy </w:t>
      </w:r>
      <w:r w:rsidRPr="00BC3B0C">
        <w:rPr>
          <w:rFonts w:ascii="Arial" w:hAnsi="Arial" w:cs="Arial"/>
          <w:sz w:val="20"/>
          <w:szCs w:val="20"/>
        </w:rPr>
        <w:t xml:space="preserve">o dodávkách </w:t>
      </w:r>
      <w:r w:rsidR="00727523" w:rsidRPr="00BC3B0C">
        <w:rPr>
          <w:rFonts w:ascii="Arial" w:hAnsi="Arial" w:cs="Arial"/>
          <w:sz w:val="20"/>
          <w:szCs w:val="20"/>
        </w:rPr>
        <w:t>musí být učiněn</w:t>
      </w:r>
      <w:r w:rsidRPr="00BC3B0C">
        <w:rPr>
          <w:rFonts w:ascii="Arial" w:hAnsi="Arial" w:cs="Arial"/>
          <w:sz w:val="20"/>
          <w:szCs w:val="20"/>
        </w:rPr>
        <w:t>y</w:t>
      </w:r>
      <w:r w:rsidR="00727523" w:rsidRPr="00BC3B0C">
        <w:rPr>
          <w:rFonts w:ascii="Arial" w:hAnsi="Arial" w:cs="Arial"/>
          <w:sz w:val="20"/>
          <w:szCs w:val="20"/>
        </w:rPr>
        <w:t xml:space="preserve"> formou písemného dodatku podepsaného oprávněnými zástupci smluvních stran, jinak taková změna nebo doplnění </w:t>
      </w:r>
      <w:r w:rsidRPr="00BC3B0C">
        <w:rPr>
          <w:rFonts w:ascii="Arial" w:hAnsi="Arial" w:cs="Arial"/>
          <w:sz w:val="20"/>
          <w:szCs w:val="20"/>
        </w:rPr>
        <w:t xml:space="preserve">této </w:t>
      </w:r>
      <w:r w:rsidR="00727523" w:rsidRPr="00BC3B0C">
        <w:rPr>
          <w:rFonts w:ascii="Arial" w:hAnsi="Arial" w:cs="Arial"/>
          <w:sz w:val="20"/>
          <w:szCs w:val="20"/>
        </w:rPr>
        <w:t xml:space="preserve">smlouvy </w:t>
      </w:r>
      <w:r w:rsidRPr="00BC3B0C">
        <w:rPr>
          <w:rFonts w:ascii="Arial" w:hAnsi="Arial" w:cs="Arial"/>
          <w:sz w:val="20"/>
          <w:szCs w:val="20"/>
        </w:rPr>
        <w:t>o dodávkách smluvní strany nezavazuje</w:t>
      </w:r>
      <w:r w:rsidR="00727523" w:rsidRPr="00BC3B0C">
        <w:rPr>
          <w:rFonts w:ascii="Arial" w:hAnsi="Arial" w:cs="Arial"/>
          <w:sz w:val="20"/>
          <w:szCs w:val="20"/>
        </w:rPr>
        <w:t>. Za písemnou formu se považuje pouze forma listinná. Písemná forma není zachována při právním jednání učiněném elektronickými nebo technickými prostředky ve smyslu § 562 občanského zákoníku</w:t>
      </w:r>
      <w:r w:rsidRPr="00BC3B0C">
        <w:rPr>
          <w:rFonts w:ascii="Arial" w:hAnsi="Arial" w:cs="Arial"/>
          <w:sz w:val="20"/>
          <w:szCs w:val="20"/>
        </w:rPr>
        <w:t>, nedohodnou-li se smluvní strany jinak</w:t>
      </w:r>
      <w:r w:rsidR="00727523" w:rsidRPr="00BC3B0C">
        <w:rPr>
          <w:rFonts w:ascii="Arial" w:hAnsi="Arial" w:cs="Arial"/>
          <w:sz w:val="20"/>
          <w:szCs w:val="20"/>
        </w:rPr>
        <w:t>.</w:t>
      </w:r>
    </w:p>
    <w:p w14:paraId="6BEEC197" w14:textId="77777777" w:rsidR="00727523" w:rsidRPr="00BC3B0C" w:rsidRDefault="00303899" w:rsidP="00727523">
      <w:pPr>
        <w:spacing w:after="120"/>
        <w:ind w:left="397" w:hanging="397"/>
        <w:jc w:val="both"/>
        <w:rPr>
          <w:rFonts w:ascii="Arial" w:hAnsi="Arial" w:cs="Arial"/>
          <w:sz w:val="20"/>
          <w:szCs w:val="20"/>
        </w:rPr>
      </w:pPr>
      <w:r w:rsidRPr="00BC3B0C">
        <w:rPr>
          <w:rFonts w:ascii="Arial" w:hAnsi="Arial" w:cs="Arial"/>
          <w:sz w:val="20"/>
          <w:szCs w:val="20"/>
        </w:rPr>
        <w:t>5</w:t>
      </w:r>
      <w:r w:rsidR="00727523" w:rsidRPr="00BC3B0C">
        <w:rPr>
          <w:rFonts w:ascii="Arial" w:hAnsi="Arial" w:cs="Arial"/>
          <w:sz w:val="20"/>
          <w:szCs w:val="20"/>
        </w:rPr>
        <w:t>.</w:t>
      </w:r>
      <w:r w:rsidR="00727523" w:rsidRPr="00BC3B0C">
        <w:rPr>
          <w:rFonts w:ascii="Arial" w:hAnsi="Arial" w:cs="Arial"/>
          <w:sz w:val="20"/>
          <w:szCs w:val="20"/>
        </w:rPr>
        <w:tab/>
        <w:t xml:space="preserve">Za den doručení písemnosti učiněné na základě této smlouvy </w:t>
      </w:r>
      <w:r w:rsidRPr="00BC3B0C">
        <w:rPr>
          <w:rFonts w:ascii="Arial" w:hAnsi="Arial" w:cs="Arial"/>
          <w:sz w:val="20"/>
          <w:szCs w:val="20"/>
        </w:rPr>
        <w:t xml:space="preserve">o dodávkách </w:t>
      </w:r>
      <w:r w:rsidR="00727523" w:rsidRPr="00BC3B0C">
        <w:rPr>
          <w:rFonts w:ascii="Arial" w:hAnsi="Arial" w:cs="Arial"/>
          <w:sz w:val="20"/>
          <w:szCs w:val="20"/>
        </w:rPr>
        <w:t>se s vyloučením § 573 občanského zákoníku považuje den skutečného doručení uvedené písemnosti.</w:t>
      </w:r>
    </w:p>
    <w:p w14:paraId="411E820A" w14:textId="148E7BFE" w:rsidR="00261D61" w:rsidRPr="00BC3B0C" w:rsidRDefault="00206782" w:rsidP="00541C2F">
      <w:pPr>
        <w:spacing w:after="120"/>
        <w:ind w:left="397" w:hanging="397"/>
        <w:jc w:val="both"/>
        <w:rPr>
          <w:rFonts w:ascii="Arial" w:hAnsi="Arial" w:cs="Arial"/>
          <w:sz w:val="20"/>
          <w:szCs w:val="20"/>
        </w:rPr>
      </w:pPr>
      <w:r>
        <w:rPr>
          <w:rFonts w:ascii="Arial" w:hAnsi="Arial" w:cs="Arial"/>
          <w:sz w:val="20"/>
          <w:szCs w:val="20"/>
        </w:rPr>
        <w:t>6</w:t>
      </w:r>
      <w:r w:rsidR="00261D61" w:rsidRPr="00BC3B0C">
        <w:rPr>
          <w:rFonts w:ascii="Arial" w:hAnsi="Arial" w:cs="Arial"/>
          <w:sz w:val="20"/>
          <w:szCs w:val="20"/>
        </w:rPr>
        <w:t>.</w:t>
      </w:r>
      <w:r w:rsidR="00261D61" w:rsidRPr="00BC3B0C">
        <w:rPr>
          <w:rFonts w:ascii="Arial" w:hAnsi="Arial" w:cs="Arial"/>
          <w:sz w:val="20"/>
          <w:szCs w:val="20"/>
        </w:rPr>
        <w:tab/>
        <w:t xml:space="preserve">Právní vztahy touto smlouvou </w:t>
      </w:r>
      <w:r w:rsidR="00303899" w:rsidRPr="00BC3B0C">
        <w:rPr>
          <w:rFonts w:ascii="Arial" w:hAnsi="Arial" w:cs="Arial"/>
          <w:sz w:val="20"/>
          <w:szCs w:val="20"/>
        </w:rPr>
        <w:t xml:space="preserve">o dodávkách </w:t>
      </w:r>
      <w:r w:rsidR="00261D61" w:rsidRPr="00BC3B0C">
        <w:rPr>
          <w:rFonts w:ascii="Arial" w:hAnsi="Arial" w:cs="Arial"/>
          <w:sz w:val="20"/>
          <w:szCs w:val="20"/>
        </w:rPr>
        <w:t>neupravené se řídí platnými obecně závaznými právními předpisy</w:t>
      </w:r>
      <w:r w:rsidR="001E39FD" w:rsidRPr="00BC3B0C">
        <w:rPr>
          <w:rFonts w:ascii="Arial" w:hAnsi="Arial" w:cs="Arial"/>
          <w:sz w:val="20"/>
          <w:szCs w:val="20"/>
        </w:rPr>
        <w:t xml:space="preserve"> České republiky</w:t>
      </w:r>
      <w:r w:rsidR="00261D61" w:rsidRPr="00BC3B0C">
        <w:rPr>
          <w:rFonts w:ascii="Arial" w:hAnsi="Arial" w:cs="Arial"/>
          <w:sz w:val="20"/>
          <w:szCs w:val="20"/>
        </w:rPr>
        <w:t>.</w:t>
      </w:r>
      <w:r w:rsidR="00101718">
        <w:rPr>
          <w:rFonts w:ascii="Arial" w:hAnsi="Arial" w:cs="Arial"/>
          <w:sz w:val="20"/>
          <w:szCs w:val="20"/>
        </w:rPr>
        <w:tab/>
      </w:r>
    </w:p>
    <w:p w14:paraId="4A6F9EC9" w14:textId="019B8D83" w:rsidR="00D62319" w:rsidRPr="00BC3B0C" w:rsidRDefault="00206782" w:rsidP="00541C2F">
      <w:pPr>
        <w:spacing w:after="120"/>
        <w:ind w:left="397" w:hanging="397"/>
        <w:jc w:val="both"/>
        <w:rPr>
          <w:rFonts w:ascii="Arial" w:hAnsi="Arial" w:cs="Arial"/>
          <w:sz w:val="20"/>
          <w:szCs w:val="20"/>
        </w:rPr>
      </w:pPr>
      <w:r>
        <w:rPr>
          <w:rFonts w:ascii="Arial" w:hAnsi="Arial" w:cs="Arial"/>
          <w:sz w:val="20"/>
          <w:szCs w:val="20"/>
        </w:rPr>
        <w:t>7</w:t>
      </w:r>
      <w:r w:rsidR="00D62319" w:rsidRPr="00BC3B0C">
        <w:rPr>
          <w:rFonts w:ascii="Arial" w:hAnsi="Arial" w:cs="Arial"/>
          <w:sz w:val="20"/>
          <w:szCs w:val="20"/>
        </w:rPr>
        <w:t>.</w:t>
      </w:r>
      <w:r w:rsidR="00D62319" w:rsidRPr="00BC3B0C">
        <w:rPr>
          <w:rFonts w:ascii="Arial" w:hAnsi="Arial" w:cs="Arial"/>
          <w:sz w:val="20"/>
          <w:szCs w:val="20"/>
        </w:rPr>
        <w:tab/>
        <w:t>V případě, že se kterékoliv z ustanovení této smlouvy</w:t>
      </w:r>
      <w:r w:rsidR="00303899" w:rsidRPr="00BC3B0C">
        <w:rPr>
          <w:rFonts w:ascii="Arial" w:hAnsi="Arial" w:cs="Arial"/>
          <w:sz w:val="20"/>
          <w:szCs w:val="20"/>
        </w:rPr>
        <w:t xml:space="preserve"> o dodávkách</w:t>
      </w:r>
      <w:r w:rsidR="00D62319" w:rsidRPr="00BC3B0C">
        <w:rPr>
          <w:rFonts w:ascii="Arial" w:hAnsi="Arial" w:cs="Arial"/>
          <w:sz w:val="20"/>
          <w:szCs w:val="20"/>
        </w:rPr>
        <w:t xml:space="preserve"> ukáže být neplatným, v rozporu s</w:t>
      </w:r>
      <w:r w:rsidR="00303899" w:rsidRPr="00BC3B0C">
        <w:rPr>
          <w:rFonts w:ascii="Arial" w:hAnsi="Arial" w:cs="Arial"/>
          <w:sz w:val="20"/>
          <w:szCs w:val="20"/>
        </w:rPr>
        <w:t> </w:t>
      </w:r>
      <w:r w:rsidR="00D62319" w:rsidRPr="00BC3B0C">
        <w:rPr>
          <w:rFonts w:ascii="Arial" w:hAnsi="Arial" w:cs="Arial"/>
          <w:sz w:val="20"/>
          <w:szCs w:val="20"/>
        </w:rPr>
        <w:t xml:space="preserve">právem nebo nevykonatelným, a to z jakéhokoliv důvodu, smluvní strany se dohodly, že takové ustanovení nahradí ustanovením novým, které </w:t>
      </w:r>
      <w:r w:rsidR="001C60C1" w:rsidRPr="00BC3B0C">
        <w:rPr>
          <w:rFonts w:ascii="Arial" w:hAnsi="Arial" w:cs="Arial"/>
          <w:sz w:val="20"/>
          <w:szCs w:val="20"/>
        </w:rPr>
        <w:t>bude</w:t>
      </w:r>
      <w:r w:rsidR="00D62319" w:rsidRPr="00BC3B0C">
        <w:rPr>
          <w:rFonts w:ascii="Arial" w:hAnsi="Arial" w:cs="Arial"/>
          <w:sz w:val="20"/>
          <w:szCs w:val="20"/>
        </w:rPr>
        <w:t xml:space="preserve"> platné, po právu a vykonatelné</w:t>
      </w:r>
      <w:r w:rsidR="001C60C1" w:rsidRPr="00BC3B0C">
        <w:rPr>
          <w:rFonts w:ascii="Arial" w:hAnsi="Arial" w:cs="Arial"/>
          <w:sz w:val="20"/>
          <w:szCs w:val="20"/>
        </w:rPr>
        <w:t>,</w:t>
      </w:r>
      <w:r w:rsidR="00D62319" w:rsidRPr="00BC3B0C">
        <w:rPr>
          <w:rFonts w:ascii="Arial" w:hAnsi="Arial" w:cs="Arial"/>
          <w:sz w:val="20"/>
          <w:szCs w:val="20"/>
        </w:rPr>
        <w:t xml:space="preserve"> a které se bude co možná nejvíce podobat svým hospodářským účelem a právními důsledky ustanovení nahrazovanému. Totéž platí pro případ, že by se z jakéhokoliv důvodu ukázala být tato smlouva </w:t>
      </w:r>
      <w:r w:rsidR="001C60C1" w:rsidRPr="00BC3B0C">
        <w:rPr>
          <w:rFonts w:ascii="Arial" w:hAnsi="Arial" w:cs="Arial"/>
          <w:sz w:val="20"/>
          <w:szCs w:val="20"/>
        </w:rPr>
        <w:t xml:space="preserve">o dodávkách </w:t>
      </w:r>
      <w:r w:rsidR="00D62319" w:rsidRPr="00BC3B0C">
        <w:rPr>
          <w:rFonts w:ascii="Arial" w:hAnsi="Arial" w:cs="Arial"/>
          <w:sz w:val="20"/>
          <w:szCs w:val="20"/>
        </w:rPr>
        <w:t>neplatnou</w:t>
      </w:r>
      <w:r w:rsidR="001C60C1" w:rsidRPr="00BC3B0C">
        <w:rPr>
          <w:rFonts w:ascii="Arial" w:hAnsi="Arial" w:cs="Arial"/>
          <w:sz w:val="20"/>
          <w:szCs w:val="20"/>
        </w:rPr>
        <w:t xml:space="preserve"> jako celek. Smluvní strany se pro tyto případ</w:t>
      </w:r>
      <w:r w:rsidR="000A0109">
        <w:rPr>
          <w:rFonts w:ascii="Arial" w:hAnsi="Arial" w:cs="Arial"/>
          <w:sz w:val="20"/>
          <w:szCs w:val="20"/>
        </w:rPr>
        <w:t>y</w:t>
      </w:r>
      <w:r w:rsidR="001C60C1" w:rsidRPr="00BC3B0C">
        <w:rPr>
          <w:rFonts w:ascii="Arial" w:hAnsi="Arial" w:cs="Arial"/>
          <w:sz w:val="20"/>
          <w:szCs w:val="20"/>
        </w:rPr>
        <w:t xml:space="preserve"> dohodly, že </w:t>
      </w:r>
      <w:r w:rsidR="00D62319" w:rsidRPr="00BC3B0C">
        <w:rPr>
          <w:rFonts w:ascii="Arial" w:hAnsi="Arial" w:cs="Arial"/>
          <w:sz w:val="20"/>
          <w:szCs w:val="20"/>
        </w:rPr>
        <w:t xml:space="preserve">toto </w:t>
      </w:r>
      <w:r w:rsidR="00D456BA" w:rsidRPr="00BC3B0C">
        <w:rPr>
          <w:rFonts w:ascii="Arial" w:hAnsi="Arial" w:cs="Arial"/>
          <w:sz w:val="20"/>
          <w:szCs w:val="20"/>
        </w:rPr>
        <w:t xml:space="preserve">salvátorské </w:t>
      </w:r>
      <w:r w:rsidR="00D62319" w:rsidRPr="00BC3B0C">
        <w:rPr>
          <w:rFonts w:ascii="Arial" w:hAnsi="Arial" w:cs="Arial"/>
          <w:sz w:val="20"/>
          <w:szCs w:val="20"/>
        </w:rPr>
        <w:t xml:space="preserve">ujednání </w:t>
      </w:r>
      <w:r w:rsidR="001C60C1" w:rsidRPr="00BC3B0C">
        <w:rPr>
          <w:rFonts w:ascii="Arial" w:hAnsi="Arial" w:cs="Arial"/>
          <w:sz w:val="20"/>
          <w:szCs w:val="20"/>
        </w:rPr>
        <w:t xml:space="preserve">tvoří </w:t>
      </w:r>
      <w:r w:rsidR="00A3011F" w:rsidRPr="00BC3B0C">
        <w:rPr>
          <w:rFonts w:ascii="Arial" w:hAnsi="Arial" w:cs="Arial"/>
          <w:sz w:val="20"/>
          <w:szCs w:val="20"/>
        </w:rPr>
        <w:t xml:space="preserve">samostatnou </w:t>
      </w:r>
      <w:r w:rsidR="001C60C1" w:rsidRPr="00BC3B0C">
        <w:rPr>
          <w:rFonts w:ascii="Arial" w:hAnsi="Arial" w:cs="Arial"/>
          <w:sz w:val="20"/>
          <w:szCs w:val="20"/>
        </w:rPr>
        <w:t xml:space="preserve">oddělitelnou </w:t>
      </w:r>
      <w:r w:rsidR="00A3011F" w:rsidRPr="00BC3B0C">
        <w:rPr>
          <w:rFonts w:ascii="Arial" w:hAnsi="Arial" w:cs="Arial"/>
          <w:sz w:val="20"/>
          <w:szCs w:val="20"/>
        </w:rPr>
        <w:t>dohodu, na </w:t>
      </w:r>
      <w:r w:rsidR="000A0109">
        <w:rPr>
          <w:rFonts w:ascii="Arial" w:hAnsi="Arial" w:cs="Arial"/>
          <w:sz w:val="20"/>
          <w:szCs w:val="20"/>
        </w:rPr>
        <w:t>jejíž</w:t>
      </w:r>
      <w:r w:rsidR="00D62319" w:rsidRPr="00BC3B0C">
        <w:rPr>
          <w:rFonts w:ascii="Arial" w:hAnsi="Arial" w:cs="Arial"/>
          <w:sz w:val="20"/>
          <w:szCs w:val="20"/>
        </w:rPr>
        <w:t xml:space="preserve"> platnost a účinnost nemá vliv platnost či neplatnost nebo účinnost této smlouvy </w:t>
      </w:r>
      <w:r w:rsidR="001C60C1" w:rsidRPr="00BC3B0C">
        <w:rPr>
          <w:rFonts w:ascii="Arial" w:hAnsi="Arial" w:cs="Arial"/>
          <w:sz w:val="20"/>
          <w:szCs w:val="20"/>
        </w:rPr>
        <w:t xml:space="preserve">o dodávkách </w:t>
      </w:r>
      <w:r w:rsidR="00D62319" w:rsidRPr="00BC3B0C">
        <w:rPr>
          <w:rFonts w:ascii="Arial" w:hAnsi="Arial" w:cs="Arial"/>
          <w:sz w:val="20"/>
          <w:szCs w:val="20"/>
        </w:rPr>
        <w:t>jako celku či jejích jednotlivých ujednání.</w:t>
      </w:r>
      <w:r w:rsidR="00C06B84" w:rsidRPr="00BC3B0C">
        <w:rPr>
          <w:rFonts w:ascii="Arial" w:hAnsi="Arial" w:cs="Arial"/>
          <w:sz w:val="20"/>
          <w:szCs w:val="20"/>
        </w:rPr>
        <w:t xml:space="preserve"> </w:t>
      </w:r>
      <w:r w:rsidR="00D62319" w:rsidRPr="00BC3B0C">
        <w:rPr>
          <w:rFonts w:ascii="Arial" w:hAnsi="Arial" w:cs="Arial"/>
          <w:sz w:val="20"/>
          <w:szCs w:val="20"/>
        </w:rPr>
        <w:t xml:space="preserve">Neplatnost, protiprávnost nebo nevykonatelnost kteréhokoliv z ustanovení této smlouvy </w:t>
      </w:r>
      <w:r w:rsidR="001C60C1" w:rsidRPr="00BC3B0C">
        <w:rPr>
          <w:rFonts w:ascii="Arial" w:hAnsi="Arial" w:cs="Arial"/>
          <w:sz w:val="20"/>
          <w:szCs w:val="20"/>
        </w:rPr>
        <w:t xml:space="preserve">o dodávkách </w:t>
      </w:r>
      <w:r w:rsidR="00D62319" w:rsidRPr="00BC3B0C">
        <w:rPr>
          <w:rFonts w:ascii="Arial" w:hAnsi="Arial" w:cs="Arial"/>
          <w:sz w:val="20"/>
          <w:szCs w:val="20"/>
        </w:rPr>
        <w:t>nemá vliv na platnost, soulad se zákonem nebo vykonatelnost ost</w:t>
      </w:r>
      <w:r w:rsidR="00C06B84" w:rsidRPr="00BC3B0C">
        <w:rPr>
          <w:rFonts w:ascii="Arial" w:hAnsi="Arial" w:cs="Arial"/>
          <w:sz w:val="20"/>
          <w:szCs w:val="20"/>
        </w:rPr>
        <w:t>atních ustanovení této smlouvy</w:t>
      </w:r>
      <w:r w:rsidR="001C60C1" w:rsidRPr="00BC3B0C">
        <w:rPr>
          <w:rFonts w:ascii="Arial" w:hAnsi="Arial" w:cs="Arial"/>
          <w:sz w:val="20"/>
          <w:szCs w:val="20"/>
        </w:rPr>
        <w:t xml:space="preserve"> o dodávkách</w:t>
      </w:r>
      <w:r w:rsidR="00C06B84" w:rsidRPr="00BC3B0C">
        <w:rPr>
          <w:rFonts w:ascii="Arial" w:hAnsi="Arial" w:cs="Arial"/>
          <w:sz w:val="20"/>
          <w:szCs w:val="20"/>
        </w:rPr>
        <w:t>.</w:t>
      </w:r>
    </w:p>
    <w:p w14:paraId="372B671A" w14:textId="479099C1" w:rsidR="00101718" w:rsidRPr="00BC3B0C" w:rsidRDefault="00206782" w:rsidP="000408F6">
      <w:pPr>
        <w:spacing w:after="120"/>
        <w:ind w:left="397" w:hanging="397"/>
        <w:jc w:val="both"/>
        <w:rPr>
          <w:rFonts w:ascii="Arial" w:hAnsi="Arial" w:cs="Arial"/>
          <w:sz w:val="20"/>
          <w:szCs w:val="20"/>
        </w:rPr>
      </w:pPr>
      <w:r>
        <w:rPr>
          <w:rFonts w:ascii="Arial" w:hAnsi="Arial" w:cs="Arial"/>
          <w:sz w:val="20"/>
          <w:szCs w:val="20"/>
        </w:rPr>
        <w:t>8.</w:t>
      </w:r>
      <w:r w:rsidR="00101718">
        <w:rPr>
          <w:rFonts w:ascii="Arial" w:hAnsi="Arial" w:cs="Arial"/>
          <w:sz w:val="20"/>
          <w:szCs w:val="20"/>
        </w:rPr>
        <w:tab/>
        <w:t xml:space="preserve">Smluvní </w:t>
      </w:r>
      <w:r w:rsidR="00101718" w:rsidRPr="000408F6">
        <w:rPr>
          <w:rFonts w:ascii="Arial" w:hAnsi="Arial" w:cs="Arial"/>
          <w:sz w:val="20"/>
          <w:szCs w:val="20"/>
        </w:rPr>
        <w:t xml:space="preserve">strany </w:t>
      </w:r>
      <w:r w:rsidR="00C960A5">
        <w:rPr>
          <w:rFonts w:ascii="Arial" w:hAnsi="Arial" w:cs="Arial"/>
          <w:sz w:val="20"/>
          <w:szCs w:val="20"/>
        </w:rPr>
        <w:t>tímto pro tuto smlouv</w:t>
      </w:r>
      <w:r w:rsidR="00732947">
        <w:rPr>
          <w:rFonts w:ascii="Arial" w:hAnsi="Arial" w:cs="Arial"/>
          <w:sz w:val="20"/>
          <w:szCs w:val="20"/>
        </w:rPr>
        <w:t>u</w:t>
      </w:r>
      <w:r w:rsidR="00C960A5">
        <w:rPr>
          <w:rFonts w:ascii="Arial" w:hAnsi="Arial" w:cs="Arial"/>
          <w:sz w:val="20"/>
          <w:szCs w:val="20"/>
        </w:rPr>
        <w:t xml:space="preserve"> o dodávkách vylučují možnost, aby se </w:t>
      </w:r>
      <w:r w:rsidR="00101718" w:rsidRPr="000408F6">
        <w:rPr>
          <w:rFonts w:ascii="Arial" w:hAnsi="Arial" w:cs="Arial"/>
          <w:sz w:val="20"/>
          <w:szCs w:val="20"/>
        </w:rPr>
        <w:t>odpověď s dodatkem nebo odchylkou, která podstatně nemění podmínky nabídky, stala přijetím nabídky</w:t>
      </w:r>
      <w:r w:rsidR="00C960A5" w:rsidRPr="00C960A5">
        <w:rPr>
          <w:rFonts w:ascii="Arial" w:hAnsi="Arial" w:cs="Arial"/>
          <w:sz w:val="20"/>
          <w:szCs w:val="20"/>
        </w:rPr>
        <w:t xml:space="preserve"> </w:t>
      </w:r>
      <w:r w:rsidR="00C960A5">
        <w:rPr>
          <w:rFonts w:ascii="Arial" w:hAnsi="Arial" w:cs="Arial"/>
          <w:sz w:val="20"/>
          <w:szCs w:val="20"/>
        </w:rPr>
        <w:t>ve smyslu</w:t>
      </w:r>
      <w:r w:rsidR="004E2302">
        <w:rPr>
          <w:rFonts w:ascii="Arial" w:hAnsi="Arial" w:cs="Arial"/>
          <w:sz w:val="20"/>
          <w:szCs w:val="20"/>
        </w:rPr>
        <w:t xml:space="preserve"> </w:t>
      </w:r>
      <w:r w:rsidR="00C960A5">
        <w:rPr>
          <w:rFonts w:ascii="Arial" w:hAnsi="Arial" w:cs="Arial"/>
          <w:sz w:val="20"/>
          <w:szCs w:val="20"/>
        </w:rPr>
        <w:t>§ 1740 odst. 3 občanského zákoníku.</w:t>
      </w:r>
      <w:r w:rsidR="00300CB8">
        <w:rPr>
          <w:rFonts w:ascii="Arial" w:hAnsi="Arial" w:cs="Arial"/>
          <w:sz w:val="20"/>
          <w:szCs w:val="20"/>
        </w:rPr>
        <w:t xml:space="preserve"> Smluvní strany tímto vylučují aplikaci obchodních zvyklostí na smluvní vztah založený touto smlouvou o dodávkách</w:t>
      </w:r>
      <w:r w:rsidR="000408F6">
        <w:rPr>
          <w:rFonts w:ascii="Arial" w:hAnsi="Arial" w:cs="Arial"/>
          <w:sz w:val="20"/>
          <w:szCs w:val="20"/>
        </w:rPr>
        <w:t xml:space="preserve">, a dále </w:t>
      </w:r>
      <w:r w:rsidR="00300CB8">
        <w:rPr>
          <w:rFonts w:ascii="Arial" w:hAnsi="Arial" w:cs="Arial"/>
          <w:sz w:val="20"/>
          <w:szCs w:val="20"/>
        </w:rPr>
        <w:t xml:space="preserve">aplikaci </w:t>
      </w:r>
      <w:r w:rsidR="00101718" w:rsidRPr="000408F6">
        <w:rPr>
          <w:rFonts w:ascii="Arial" w:hAnsi="Arial" w:cs="Arial"/>
          <w:sz w:val="20"/>
          <w:szCs w:val="20"/>
        </w:rPr>
        <w:t>§ 1765</w:t>
      </w:r>
      <w:r w:rsidR="000408F6">
        <w:rPr>
          <w:rFonts w:ascii="Arial" w:hAnsi="Arial" w:cs="Arial"/>
          <w:sz w:val="20"/>
          <w:szCs w:val="20"/>
        </w:rPr>
        <w:t xml:space="preserve"> a</w:t>
      </w:r>
      <w:r w:rsidR="00101718" w:rsidRPr="000408F6">
        <w:rPr>
          <w:rFonts w:ascii="Arial" w:hAnsi="Arial" w:cs="Arial"/>
          <w:sz w:val="20"/>
          <w:szCs w:val="20"/>
        </w:rPr>
        <w:t xml:space="preserve"> § 1766</w:t>
      </w:r>
      <w:r w:rsidR="000408F6">
        <w:rPr>
          <w:rFonts w:ascii="Arial" w:hAnsi="Arial" w:cs="Arial"/>
          <w:sz w:val="20"/>
          <w:szCs w:val="20"/>
        </w:rPr>
        <w:t xml:space="preserve"> o</w:t>
      </w:r>
      <w:r w:rsidR="00101718" w:rsidRPr="000408F6">
        <w:rPr>
          <w:rFonts w:ascii="Arial" w:hAnsi="Arial" w:cs="Arial"/>
          <w:sz w:val="20"/>
          <w:szCs w:val="20"/>
        </w:rPr>
        <w:t>bčanského zákoníku</w:t>
      </w:r>
      <w:r w:rsidR="000408F6">
        <w:rPr>
          <w:rFonts w:ascii="Arial" w:hAnsi="Arial" w:cs="Arial"/>
          <w:sz w:val="20"/>
          <w:szCs w:val="20"/>
        </w:rPr>
        <w:t xml:space="preserve"> na tuto smlouvu o dodávkách.</w:t>
      </w:r>
    </w:p>
    <w:p w14:paraId="171F215F" w14:textId="77777777" w:rsidR="00594629" w:rsidRPr="00BC3B0C" w:rsidRDefault="001C60C1" w:rsidP="00594629">
      <w:pPr>
        <w:spacing w:after="120"/>
        <w:ind w:left="397" w:hanging="397"/>
        <w:jc w:val="both"/>
        <w:rPr>
          <w:rFonts w:ascii="Arial" w:hAnsi="Arial" w:cs="Arial"/>
          <w:sz w:val="20"/>
          <w:szCs w:val="20"/>
        </w:rPr>
      </w:pPr>
      <w:r w:rsidRPr="00BC3B0C">
        <w:rPr>
          <w:rFonts w:ascii="Arial" w:hAnsi="Arial" w:cs="Arial"/>
          <w:sz w:val="20"/>
          <w:szCs w:val="20"/>
        </w:rPr>
        <w:t>9</w:t>
      </w:r>
      <w:r w:rsidR="00594629" w:rsidRPr="00BC3B0C">
        <w:rPr>
          <w:rFonts w:ascii="Arial" w:hAnsi="Arial" w:cs="Arial"/>
          <w:sz w:val="20"/>
          <w:szCs w:val="20"/>
        </w:rPr>
        <w:t>.</w:t>
      </w:r>
      <w:r w:rsidR="00594629" w:rsidRPr="00BC3B0C">
        <w:rPr>
          <w:rFonts w:ascii="Arial" w:hAnsi="Arial" w:cs="Arial"/>
          <w:sz w:val="20"/>
          <w:szCs w:val="20"/>
        </w:rPr>
        <w:tab/>
        <w:t>K řešení sporů vyplývajících z realizace této smlouvy jsou příslušné soudy České republiky.</w:t>
      </w:r>
    </w:p>
    <w:p w14:paraId="276DE3AD" w14:textId="0CF43BC4" w:rsidR="00FE0785" w:rsidRPr="00BC3B0C" w:rsidRDefault="00F55CC8" w:rsidP="00FE0785">
      <w:pPr>
        <w:spacing w:after="120"/>
        <w:ind w:left="397" w:hanging="397"/>
        <w:jc w:val="both"/>
        <w:rPr>
          <w:rFonts w:ascii="Arial" w:hAnsi="Arial" w:cs="Arial"/>
          <w:sz w:val="20"/>
          <w:szCs w:val="20"/>
        </w:rPr>
      </w:pPr>
      <w:r w:rsidRPr="00BC3B0C">
        <w:rPr>
          <w:rFonts w:ascii="Arial" w:hAnsi="Arial" w:cs="Arial"/>
          <w:sz w:val="20"/>
          <w:szCs w:val="20"/>
        </w:rPr>
        <w:t>10</w:t>
      </w:r>
      <w:r w:rsidR="001503A9" w:rsidRPr="00BC3B0C">
        <w:rPr>
          <w:rFonts w:ascii="Arial" w:hAnsi="Arial" w:cs="Arial"/>
          <w:sz w:val="20"/>
          <w:szCs w:val="20"/>
        </w:rPr>
        <w:t>.</w:t>
      </w:r>
      <w:r w:rsidR="001503A9" w:rsidRPr="00BC3B0C">
        <w:rPr>
          <w:rFonts w:ascii="Arial" w:hAnsi="Arial" w:cs="Arial"/>
          <w:sz w:val="20"/>
          <w:szCs w:val="20"/>
        </w:rPr>
        <w:tab/>
      </w:r>
      <w:r w:rsidR="000C40CF" w:rsidRPr="003A66F7">
        <w:rPr>
          <w:rFonts w:ascii="Arial" w:hAnsi="Arial" w:cs="Arial"/>
          <w:sz w:val="20"/>
          <w:szCs w:val="20"/>
        </w:rPr>
        <w:t xml:space="preserve">Oznámil-li </w:t>
      </w:r>
      <w:r w:rsidR="00107CB6">
        <w:rPr>
          <w:rFonts w:ascii="Arial" w:hAnsi="Arial" w:cs="Arial"/>
          <w:sz w:val="20"/>
          <w:szCs w:val="20"/>
        </w:rPr>
        <w:t>d</w:t>
      </w:r>
      <w:r w:rsidR="000C40CF" w:rsidRPr="003A66F7">
        <w:rPr>
          <w:rFonts w:ascii="Arial" w:hAnsi="Arial" w:cs="Arial"/>
          <w:sz w:val="20"/>
          <w:szCs w:val="20"/>
        </w:rPr>
        <w:t xml:space="preserve">opravce </w:t>
      </w:r>
      <w:r w:rsidR="00107CB6">
        <w:rPr>
          <w:rFonts w:ascii="Arial" w:hAnsi="Arial" w:cs="Arial"/>
          <w:sz w:val="20"/>
          <w:szCs w:val="20"/>
        </w:rPr>
        <w:t xml:space="preserve">provozovateli </w:t>
      </w:r>
      <w:r w:rsidR="000C40CF" w:rsidRPr="003A66F7">
        <w:rPr>
          <w:rFonts w:ascii="Arial" w:hAnsi="Arial" w:cs="Arial"/>
          <w:sz w:val="20"/>
          <w:szCs w:val="20"/>
        </w:rPr>
        <w:t xml:space="preserve">nejpozději před nabytím účinnosti této </w:t>
      </w:r>
      <w:r w:rsidR="00107CB6">
        <w:rPr>
          <w:rFonts w:ascii="Arial" w:hAnsi="Arial" w:cs="Arial"/>
          <w:sz w:val="20"/>
          <w:szCs w:val="20"/>
        </w:rPr>
        <w:t>smlouvy o dodávkách</w:t>
      </w:r>
      <w:r w:rsidR="000C40CF" w:rsidRPr="003A66F7">
        <w:rPr>
          <w:rFonts w:ascii="Arial" w:hAnsi="Arial" w:cs="Arial"/>
          <w:sz w:val="20"/>
          <w:szCs w:val="20"/>
        </w:rPr>
        <w:t>, že</w:t>
      </w:r>
      <w:r w:rsidR="00FE0785" w:rsidRPr="00BC3B0C">
        <w:rPr>
          <w:rFonts w:ascii="Arial" w:hAnsi="Arial" w:cs="Arial"/>
          <w:sz w:val="20"/>
          <w:szCs w:val="20"/>
        </w:rPr>
        <w:t xml:space="preserve"> tato smlouva o dodávkách </w:t>
      </w:r>
      <w:r w:rsidR="000C40CF" w:rsidRPr="003A66F7">
        <w:rPr>
          <w:rFonts w:ascii="Arial" w:hAnsi="Arial" w:cs="Arial"/>
          <w:sz w:val="20"/>
          <w:szCs w:val="20"/>
        </w:rPr>
        <w:t>je smlouvou, u které zák.</w:t>
      </w:r>
      <w:r w:rsidR="00FE0785" w:rsidRPr="00BC3B0C">
        <w:rPr>
          <w:rFonts w:ascii="Arial" w:hAnsi="Arial" w:cs="Arial"/>
          <w:sz w:val="20"/>
          <w:szCs w:val="20"/>
        </w:rPr>
        <w:t xml:space="preserve"> č. 340/2015 Sb., o zvláštních podmínkách účinnosti některých smluv, uveřejňování těchto smluv a o registru smluv (zákon o registru smluv), ve znění pozdějších předpisů (dále jen „</w:t>
      </w:r>
      <w:r w:rsidR="00FE0785" w:rsidRPr="002965E2">
        <w:rPr>
          <w:rFonts w:ascii="Arial" w:hAnsi="Arial" w:cs="Arial"/>
          <w:b/>
          <w:sz w:val="20"/>
          <w:szCs w:val="20"/>
        </w:rPr>
        <w:t>ZRS</w:t>
      </w:r>
      <w:r w:rsidR="000C40CF" w:rsidRPr="003A66F7">
        <w:rPr>
          <w:rFonts w:ascii="Arial" w:hAnsi="Arial" w:cs="Arial"/>
          <w:sz w:val="20"/>
          <w:szCs w:val="20"/>
        </w:rPr>
        <w:t xml:space="preserve">“) nestanovuje povinnost uveřejnění v registru smluv, </w:t>
      </w:r>
      <w:r w:rsidR="00107CB6">
        <w:rPr>
          <w:rFonts w:ascii="Arial" w:hAnsi="Arial" w:cs="Arial"/>
          <w:sz w:val="20"/>
          <w:szCs w:val="20"/>
        </w:rPr>
        <w:t>provozovatel</w:t>
      </w:r>
      <w:r w:rsidR="000C40CF" w:rsidRPr="003A66F7">
        <w:rPr>
          <w:rFonts w:ascii="Arial" w:hAnsi="Arial" w:cs="Arial"/>
          <w:sz w:val="20"/>
          <w:szCs w:val="20"/>
        </w:rPr>
        <w:t xml:space="preserve"> tuto </w:t>
      </w:r>
      <w:r w:rsidR="00107CB6">
        <w:rPr>
          <w:rFonts w:ascii="Arial" w:hAnsi="Arial" w:cs="Arial"/>
          <w:sz w:val="20"/>
          <w:szCs w:val="20"/>
        </w:rPr>
        <w:t>s</w:t>
      </w:r>
      <w:r w:rsidR="000C40CF" w:rsidRPr="003A66F7">
        <w:rPr>
          <w:rFonts w:ascii="Arial" w:hAnsi="Arial" w:cs="Arial"/>
          <w:sz w:val="20"/>
          <w:szCs w:val="20"/>
        </w:rPr>
        <w:t xml:space="preserve">mlouvu </w:t>
      </w:r>
      <w:r w:rsidR="00107CB6">
        <w:rPr>
          <w:rFonts w:ascii="Arial" w:hAnsi="Arial" w:cs="Arial"/>
          <w:sz w:val="20"/>
          <w:szCs w:val="20"/>
        </w:rPr>
        <w:t xml:space="preserve">o dodávkách </w:t>
      </w:r>
      <w:r w:rsidR="000C40CF" w:rsidRPr="003A66F7">
        <w:rPr>
          <w:rFonts w:ascii="Arial" w:hAnsi="Arial" w:cs="Arial"/>
          <w:sz w:val="20"/>
          <w:szCs w:val="20"/>
        </w:rPr>
        <w:t xml:space="preserve">v registru smluv neuveřejní. Porušení zákazu dle předchozí věty považují </w:t>
      </w:r>
      <w:r w:rsidR="00107CB6">
        <w:rPr>
          <w:rFonts w:ascii="Arial" w:hAnsi="Arial" w:cs="Arial"/>
          <w:sz w:val="20"/>
          <w:szCs w:val="20"/>
        </w:rPr>
        <w:lastRenderedPageBreak/>
        <w:t>smluvní s</w:t>
      </w:r>
      <w:r w:rsidR="000C40CF" w:rsidRPr="003A66F7">
        <w:rPr>
          <w:rFonts w:ascii="Arial" w:hAnsi="Arial" w:cs="Arial"/>
          <w:sz w:val="20"/>
          <w:szCs w:val="20"/>
        </w:rPr>
        <w:t xml:space="preserve">trany za porušení povinnosti zachovávat mlčenlivost o </w:t>
      </w:r>
      <w:r w:rsidR="00107CB6">
        <w:rPr>
          <w:rFonts w:ascii="Arial" w:hAnsi="Arial" w:cs="Arial"/>
          <w:sz w:val="20"/>
          <w:szCs w:val="20"/>
        </w:rPr>
        <w:t>d</w:t>
      </w:r>
      <w:r w:rsidR="000C40CF" w:rsidRPr="003A66F7">
        <w:rPr>
          <w:rFonts w:ascii="Arial" w:hAnsi="Arial" w:cs="Arial"/>
          <w:sz w:val="20"/>
          <w:szCs w:val="20"/>
        </w:rPr>
        <w:t xml:space="preserve">ůvěrných informacích, jak jsou definovány </w:t>
      </w:r>
      <w:r w:rsidR="00107CB6">
        <w:rPr>
          <w:rFonts w:ascii="Arial" w:hAnsi="Arial" w:cs="Arial"/>
          <w:sz w:val="20"/>
          <w:szCs w:val="20"/>
        </w:rPr>
        <w:t>v bodě 14 tohoto článku</w:t>
      </w:r>
      <w:r w:rsidR="000C40CF" w:rsidRPr="003A66F7">
        <w:rPr>
          <w:rFonts w:ascii="Arial" w:hAnsi="Arial" w:cs="Arial"/>
          <w:sz w:val="20"/>
          <w:szCs w:val="20"/>
        </w:rPr>
        <w:t xml:space="preserve">, a porušující </w:t>
      </w:r>
      <w:r w:rsidR="00107CB6">
        <w:rPr>
          <w:rFonts w:ascii="Arial" w:hAnsi="Arial" w:cs="Arial"/>
          <w:sz w:val="20"/>
          <w:szCs w:val="20"/>
        </w:rPr>
        <w:t>smluvní s</w:t>
      </w:r>
      <w:r w:rsidR="000C40CF" w:rsidRPr="003A66F7">
        <w:rPr>
          <w:rFonts w:ascii="Arial" w:hAnsi="Arial" w:cs="Arial"/>
          <w:sz w:val="20"/>
          <w:szCs w:val="20"/>
        </w:rPr>
        <w:t xml:space="preserve">trana nahradí oprávněné </w:t>
      </w:r>
      <w:r w:rsidR="00107CB6">
        <w:rPr>
          <w:rFonts w:ascii="Arial" w:hAnsi="Arial" w:cs="Arial"/>
          <w:sz w:val="20"/>
          <w:szCs w:val="20"/>
        </w:rPr>
        <w:t>smluvní s</w:t>
      </w:r>
      <w:r w:rsidR="000C40CF" w:rsidRPr="003A66F7">
        <w:rPr>
          <w:rFonts w:ascii="Arial" w:hAnsi="Arial" w:cs="Arial"/>
          <w:sz w:val="20"/>
          <w:szCs w:val="20"/>
        </w:rPr>
        <w:t>traně veškerou škodu a jinou újmu, která jí v důsledku porušení tohoto zákazu vznikne</w:t>
      </w:r>
      <w:r w:rsidR="00FE0785" w:rsidRPr="00BC3B0C">
        <w:rPr>
          <w:rFonts w:ascii="Arial" w:hAnsi="Arial" w:cs="Arial"/>
          <w:sz w:val="20"/>
          <w:szCs w:val="20"/>
        </w:rPr>
        <w:t>. Tímto ustanovením není dotčena povinnost smluvní strany uveřejňovat smlouvy podle jiných právních předpisů (zejména podle zákona č. 134/2016 Sb., o zadávání veřejných zakázek, ve znění pozdějších předpisů).</w:t>
      </w:r>
    </w:p>
    <w:p w14:paraId="204FF395" w14:textId="10A57C11" w:rsidR="00FE0785" w:rsidRPr="00BC3B0C" w:rsidRDefault="00FE0785" w:rsidP="00FE0785">
      <w:pPr>
        <w:spacing w:after="120"/>
        <w:ind w:left="397" w:hanging="397"/>
        <w:jc w:val="both"/>
        <w:rPr>
          <w:rFonts w:ascii="Arial" w:hAnsi="Arial" w:cs="Arial"/>
          <w:sz w:val="20"/>
          <w:szCs w:val="20"/>
        </w:rPr>
      </w:pPr>
      <w:r w:rsidRPr="00BC3B0C">
        <w:rPr>
          <w:rFonts w:ascii="Arial" w:hAnsi="Arial" w:cs="Arial"/>
          <w:sz w:val="20"/>
          <w:szCs w:val="20"/>
        </w:rPr>
        <w:t>11.</w:t>
      </w:r>
      <w:r w:rsidRPr="00BC3B0C">
        <w:rPr>
          <w:rFonts w:ascii="Arial" w:hAnsi="Arial" w:cs="Arial"/>
          <w:sz w:val="20"/>
          <w:szCs w:val="20"/>
        </w:rPr>
        <w:tab/>
      </w:r>
      <w:r w:rsidR="000C40CF" w:rsidRPr="003A66F7">
        <w:rPr>
          <w:rFonts w:ascii="Arial" w:hAnsi="Arial" w:cs="Arial"/>
          <w:sz w:val="20"/>
          <w:szCs w:val="20"/>
        </w:rPr>
        <w:t xml:space="preserve">Neoznámí-li </w:t>
      </w:r>
      <w:r w:rsidR="00107CB6">
        <w:rPr>
          <w:rFonts w:ascii="Arial" w:hAnsi="Arial" w:cs="Arial"/>
          <w:sz w:val="20"/>
          <w:szCs w:val="20"/>
        </w:rPr>
        <w:t>d</w:t>
      </w:r>
      <w:r w:rsidR="000C40CF" w:rsidRPr="003A66F7">
        <w:rPr>
          <w:rFonts w:ascii="Arial" w:hAnsi="Arial" w:cs="Arial"/>
          <w:sz w:val="20"/>
          <w:szCs w:val="20"/>
        </w:rPr>
        <w:t xml:space="preserve">opravce </w:t>
      </w:r>
      <w:r w:rsidR="00107CB6">
        <w:rPr>
          <w:rFonts w:ascii="Arial" w:hAnsi="Arial" w:cs="Arial"/>
          <w:sz w:val="20"/>
          <w:szCs w:val="20"/>
        </w:rPr>
        <w:t xml:space="preserve">provozovateli </w:t>
      </w:r>
      <w:r w:rsidR="000C40CF" w:rsidRPr="003A66F7">
        <w:rPr>
          <w:rFonts w:ascii="Arial" w:hAnsi="Arial" w:cs="Arial"/>
          <w:sz w:val="20"/>
          <w:szCs w:val="20"/>
        </w:rPr>
        <w:t>podle pře</w:t>
      </w:r>
      <w:r w:rsidR="000B4C30">
        <w:rPr>
          <w:rFonts w:ascii="Arial" w:hAnsi="Arial" w:cs="Arial"/>
          <w:sz w:val="20"/>
          <w:szCs w:val="20"/>
        </w:rPr>
        <w:t>d</w:t>
      </w:r>
      <w:r w:rsidR="000C40CF" w:rsidRPr="003A66F7">
        <w:rPr>
          <w:rFonts w:ascii="Arial" w:hAnsi="Arial" w:cs="Arial"/>
          <w:sz w:val="20"/>
          <w:szCs w:val="20"/>
        </w:rPr>
        <w:t xml:space="preserve">chozího </w:t>
      </w:r>
      <w:r w:rsidR="00107CB6">
        <w:rPr>
          <w:rFonts w:ascii="Arial" w:hAnsi="Arial" w:cs="Arial"/>
          <w:sz w:val="20"/>
          <w:szCs w:val="20"/>
        </w:rPr>
        <w:t>bodu</w:t>
      </w:r>
      <w:r w:rsidR="000C40CF" w:rsidRPr="003A66F7">
        <w:rPr>
          <w:rFonts w:ascii="Arial" w:hAnsi="Arial" w:cs="Arial"/>
          <w:sz w:val="20"/>
          <w:szCs w:val="20"/>
        </w:rPr>
        <w:t xml:space="preserve">, že tato </w:t>
      </w:r>
      <w:r w:rsidR="00107CB6">
        <w:rPr>
          <w:rFonts w:ascii="Arial" w:hAnsi="Arial" w:cs="Arial"/>
          <w:sz w:val="20"/>
          <w:szCs w:val="20"/>
        </w:rPr>
        <w:t>s</w:t>
      </w:r>
      <w:r w:rsidR="000C40CF" w:rsidRPr="003A66F7">
        <w:rPr>
          <w:rFonts w:ascii="Arial" w:hAnsi="Arial" w:cs="Arial"/>
          <w:sz w:val="20"/>
          <w:szCs w:val="20"/>
        </w:rPr>
        <w:t xml:space="preserve">mlouva </w:t>
      </w:r>
      <w:r w:rsidR="00107CB6">
        <w:rPr>
          <w:rFonts w:ascii="Arial" w:hAnsi="Arial" w:cs="Arial"/>
          <w:sz w:val="20"/>
          <w:szCs w:val="20"/>
        </w:rPr>
        <w:t xml:space="preserve">o dodávkách </w:t>
      </w:r>
      <w:r w:rsidR="000C40CF" w:rsidRPr="003A66F7">
        <w:rPr>
          <w:rFonts w:ascii="Arial" w:hAnsi="Arial" w:cs="Arial"/>
          <w:sz w:val="20"/>
          <w:szCs w:val="20"/>
        </w:rPr>
        <w:t xml:space="preserve">je smlouvou, u které ZRS nestanovuje povinnost uveřejnění v registru smluv, je tuto </w:t>
      </w:r>
      <w:r w:rsidR="00107CB6">
        <w:rPr>
          <w:rFonts w:ascii="Arial" w:hAnsi="Arial" w:cs="Arial"/>
          <w:sz w:val="20"/>
          <w:szCs w:val="20"/>
        </w:rPr>
        <w:t>s</w:t>
      </w:r>
      <w:r w:rsidR="000C40CF" w:rsidRPr="003A66F7">
        <w:rPr>
          <w:rFonts w:ascii="Arial" w:hAnsi="Arial" w:cs="Arial"/>
          <w:sz w:val="20"/>
          <w:szCs w:val="20"/>
        </w:rPr>
        <w:t xml:space="preserve">mlouvu </w:t>
      </w:r>
      <w:r w:rsidR="00107CB6">
        <w:rPr>
          <w:rFonts w:ascii="Arial" w:hAnsi="Arial" w:cs="Arial"/>
          <w:sz w:val="20"/>
          <w:szCs w:val="20"/>
        </w:rPr>
        <w:t>o dodávkách povinen</w:t>
      </w:r>
      <w:r w:rsidR="000C40CF" w:rsidRPr="003A66F7">
        <w:rPr>
          <w:rFonts w:ascii="Arial" w:hAnsi="Arial" w:cs="Arial"/>
          <w:sz w:val="20"/>
          <w:szCs w:val="20"/>
        </w:rPr>
        <w:t xml:space="preserve"> správci registru smluv zaslat k uveřejnění v registru smluv </w:t>
      </w:r>
      <w:r w:rsidR="00107CB6">
        <w:rPr>
          <w:rFonts w:ascii="Arial" w:hAnsi="Arial" w:cs="Arial"/>
          <w:sz w:val="20"/>
          <w:szCs w:val="20"/>
        </w:rPr>
        <w:t>provozovatel</w:t>
      </w:r>
      <w:r w:rsidR="000C40CF" w:rsidRPr="003A66F7">
        <w:rPr>
          <w:rFonts w:ascii="Arial" w:hAnsi="Arial" w:cs="Arial"/>
          <w:sz w:val="20"/>
          <w:szCs w:val="20"/>
        </w:rPr>
        <w:t xml:space="preserve">. V takovém případě </w:t>
      </w:r>
      <w:r w:rsidR="00107CB6">
        <w:rPr>
          <w:rFonts w:ascii="Arial" w:hAnsi="Arial" w:cs="Arial"/>
          <w:sz w:val="20"/>
          <w:szCs w:val="20"/>
        </w:rPr>
        <w:t>smluvní s</w:t>
      </w:r>
      <w:r w:rsidR="000C40CF" w:rsidRPr="003A66F7">
        <w:rPr>
          <w:rFonts w:ascii="Arial" w:hAnsi="Arial" w:cs="Arial"/>
          <w:sz w:val="20"/>
          <w:szCs w:val="20"/>
        </w:rPr>
        <w:t xml:space="preserve">trany souhlasí se zveřejněním údajů o identifikaci </w:t>
      </w:r>
      <w:r w:rsidR="00107CB6">
        <w:rPr>
          <w:rFonts w:ascii="Arial" w:hAnsi="Arial" w:cs="Arial"/>
          <w:sz w:val="20"/>
          <w:szCs w:val="20"/>
        </w:rPr>
        <w:t>smluvních s</w:t>
      </w:r>
      <w:r w:rsidR="000C40CF" w:rsidRPr="003A66F7">
        <w:rPr>
          <w:rFonts w:ascii="Arial" w:hAnsi="Arial" w:cs="Arial"/>
          <w:sz w:val="20"/>
          <w:szCs w:val="20"/>
        </w:rPr>
        <w:t xml:space="preserve">tran, předmětu </w:t>
      </w:r>
      <w:r w:rsidR="00107CB6">
        <w:rPr>
          <w:rFonts w:ascii="Arial" w:hAnsi="Arial" w:cs="Arial"/>
          <w:sz w:val="20"/>
          <w:szCs w:val="20"/>
        </w:rPr>
        <w:t>této smlouvy o</w:t>
      </w:r>
      <w:r w:rsidR="001C2D45">
        <w:rPr>
          <w:rFonts w:ascii="Arial" w:hAnsi="Arial" w:cs="Arial"/>
          <w:sz w:val="20"/>
          <w:szCs w:val="20"/>
        </w:rPr>
        <w:t> </w:t>
      </w:r>
      <w:r w:rsidRPr="00BC3B0C">
        <w:rPr>
          <w:rFonts w:ascii="Arial" w:hAnsi="Arial" w:cs="Arial"/>
          <w:sz w:val="20"/>
          <w:szCs w:val="20"/>
        </w:rPr>
        <w:t>dodávkách, jeho ceně (resp. hodnoty předmětu této smlouvy o dodávkách, lze-li ji určit), a datu uzavření této smlouvy o</w:t>
      </w:r>
      <w:r w:rsidR="00107CB6">
        <w:rPr>
          <w:rFonts w:ascii="Arial" w:hAnsi="Arial" w:cs="Arial"/>
          <w:sz w:val="20"/>
          <w:szCs w:val="20"/>
        </w:rPr>
        <w:t xml:space="preserve"> dodávkách</w:t>
      </w:r>
      <w:r w:rsidR="000C40CF" w:rsidRPr="003A66F7">
        <w:rPr>
          <w:rFonts w:ascii="Arial" w:hAnsi="Arial" w:cs="Arial"/>
          <w:sz w:val="20"/>
          <w:szCs w:val="20"/>
        </w:rPr>
        <w:t>.</w:t>
      </w:r>
      <w:r w:rsidRPr="00BC3B0C">
        <w:rPr>
          <w:rFonts w:ascii="Arial" w:hAnsi="Arial" w:cs="Arial"/>
          <w:sz w:val="20"/>
          <w:szCs w:val="20"/>
        </w:rPr>
        <w:t xml:space="preserve"> Nebude-li tato smlouva o dodávkách zaslána k uveřejnění a/nebo uveřejněna prostřednictvím registru smluv</w:t>
      </w:r>
      <w:r w:rsidR="000C40CF" w:rsidRPr="003A66F7">
        <w:rPr>
          <w:rFonts w:ascii="Arial" w:hAnsi="Arial" w:cs="Arial"/>
          <w:sz w:val="20"/>
          <w:szCs w:val="20"/>
        </w:rPr>
        <w:t xml:space="preserve"> nikoliv z důvodu na straně </w:t>
      </w:r>
      <w:r w:rsidR="00107CB6">
        <w:rPr>
          <w:rFonts w:ascii="Arial" w:hAnsi="Arial" w:cs="Arial"/>
          <w:sz w:val="20"/>
          <w:szCs w:val="20"/>
        </w:rPr>
        <w:t>provozovatele</w:t>
      </w:r>
      <w:r w:rsidRPr="00BC3B0C">
        <w:rPr>
          <w:rFonts w:ascii="Arial" w:hAnsi="Arial" w:cs="Arial"/>
          <w:sz w:val="20"/>
          <w:szCs w:val="20"/>
        </w:rPr>
        <w:t>, není žádná ze smluvních stran oprávněna požadovat po druhé smluvní straně náhradu škody ani jiné újmy, která by jí v této souvislosti vznikla.</w:t>
      </w:r>
    </w:p>
    <w:p w14:paraId="6083CEE5" w14:textId="7427EB03" w:rsidR="00FE0785" w:rsidRPr="00BC3B0C" w:rsidRDefault="00FE0785" w:rsidP="00FE0785">
      <w:pPr>
        <w:spacing w:after="120"/>
        <w:ind w:left="397" w:hanging="397"/>
        <w:jc w:val="both"/>
        <w:rPr>
          <w:rFonts w:ascii="Arial" w:hAnsi="Arial" w:cs="Arial"/>
          <w:sz w:val="20"/>
          <w:szCs w:val="20"/>
        </w:rPr>
      </w:pPr>
      <w:r w:rsidRPr="00BC3B0C">
        <w:rPr>
          <w:rFonts w:ascii="Arial" w:hAnsi="Arial" w:cs="Arial"/>
          <w:sz w:val="20"/>
          <w:szCs w:val="20"/>
        </w:rPr>
        <w:t>12.</w:t>
      </w:r>
      <w:r w:rsidRPr="00BC3B0C">
        <w:rPr>
          <w:rFonts w:ascii="Arial" w:hAnsi="Arial" w:cs="Arial"/>
          <w:sz w:val="20"/>
          <w:szCs w:val="20"/>
        </w:rPr>
        <w:tab/>
      </w:r>
      <w:r w:rsidR="00D80E96" w:rsidRPr="003A66F7">
        <w:rPr>
          <w:rFonts w:ascii="Arial" w:hAnsi="Arial" w:cs="Arial"/>
          <w:sz w:val="20"/>
          <w:szCs w:val="20"/>
        </w:rPr>
        <w:t xml:space="preserve">Je-li tato </w:t>
      </w:r>
      <w:r w:rsidR="00107CB6">
        <w:rPr>
          <w:rFonts w:ascii="Arial" w:hAnsi="Arial" w:cs="Arial"/>
          <w:sz w:val="20"/>
          <w:szCs w:val="20"/>
        </w:rPr>
        <w:t>s</w:t>
      </w:r>
      <w:r w:rsidR="00D80E96" w:rsidRPr="003A66F7">
        <w:rPr>
          <w:rFonts w:ascii="Arial" w:hAnsi="Arial" w:cs="Arial"/>
          <w:sz w:val="20"/>
          <w:szCs w:val="20"/>
        </w:rPr>
        <w:t xml:space="preserve">mlouva </w:t>
      </w:r>
      <w:r w:rsidR="00107CB6">
        <w:rPr>
          <w:rFonts w:ascii="Arial" w:hAnsi="Arial" w:cs="Arial"/>
          <w:sz w:val="20"/>
          <w:szCs w:val="20"/>
        </w:rPr>
        <w:t xml:space="preserve">o dodávkách </w:t>
      </w:r>
      <w:r w:rsidR="00D80E96" w:rsidRPr="003A66F7">
        <w:rPr>
          <w:rFonts w:ascii="Arial" w:hAnsi="Arial" w:cs="Arial"/>
          <w:sz w:val="20"/>
          <w:szCs w:val="20"/>
        </w:rPr>
        <w:t xml:space="preserve">smlouvou podle </w:t>
      </w:r>
      <w:r w:rsidR="00107CB6">
        <w:rPr>
          <w:rFonts w:ascii="Arial" w:hAnsi="Arial" w:cs="Arial"/>
          <w:sz w:val="20"/>
          <w:szCs w:val="20"/>
        </w:rPr>
        <w:t>předchozího bodu tohoto článku</w:t>
      </w:r>
      <w:r w:rsidRPr="00BC3B0C">
        <w:rPr>
          <w:rFonts w:ascii="Arial" w:hAnsi="Arial" w:cs="Arial"/>
          <w:sz w:val="20"/>
          <w:szCs w:val="20"/>
        </w:rPr>
        <w:t>, prohlašují smluvní strany výslovně, že údaje a další skutečnosti uvedené v této smlouvě o dodávkách, vyjma částí označených ve smyslu následujícího bodu tohoto článku, nepovažují za obchodní tajemství ve smyslu § 504 občanského zákoníku, a že se nejedná ani o informace, které nemohou být v registru smluv uveřejněny na základě § 3 odst. 1 ZRS (dále jen „</w:t>
      </w:r>
      <w:r w:rsidRPr="002965E2">
        <w:rPr>
          <w:rFonts w:ascii="Arial" w:hAnsi="Arial" w:cs="Arial"/>
          <w:b/>
          <w:sz w:val="20"/>
          <w:szCs w:val="20"/>
        </w:rPr>
        <w:t>obchodní tajemství</w:t>
      </w:r>
      <w:r w:rsidRPr="00BC3B0C">
        <w:rPr>
          <w:rFonts w:ascii="Arial" w:hAnsi="Arial" w:cs="Arial"/>
          <w:sz w:val="20"/>
          <w:szCs w:val="20"/>
        </w:rPr>
        <w:t>“).</w:t>
      </w:r>
    </w:p>
    <w:p w14:paraId="3BA51663" w14:textId="3A6FBFEF" w:rsidR="00FE0785" w:rsidRPr="00BC3B0C" w:rsidRDefault="00FE0785" w:rsidP="00FE0785">
      <w:pPr>
        <w:spacing w:after="120"/>
        <w:ind w:left="397" w:hanging="397"/>
        <w:jc w:val="both"/>
        <w:rPr>
          <w:rFonts w:ascii="Arial" w:hAnsi="Arial" w:cs="Arial"/>
          <w:sz w:val="20"/>
          <w:szCs w:val="20"/>
        </w:rPr>
      </w:pPr>
      <w:r w:rsidRPr="00BC3B0C">
        <w:rPr>
          <w:rFonts w:ascii="Arial" w:hAnsi="Arial" w:cs="Arial"/>
          <w:sz w:val="20"/>
          <w:szCs w:val="20"/>
        </w:rPr>
        <w:t>13.</w:t>
      </w:r>
      <w:r w:rsidRPr="00BC3B0C">
        <w:rPr>
          <w:rFonts w:ascii="Arial" w:hAnsi="Arial" w:cs="Arial"/>
          <w:sz w:val="20"/>
          <w:szCs w:val="20"/>
        </w:rPr>
        <w:tab/>
        <w:t>Jestliže smluvní strana označí za své obchodní tajemství část obsahu této smlouvy o dodávkách, která v důsledku toho bude pro účely uveřejnění této smlouvy o dodávkách v registru smluv znečitelněna, nese tato smluvní strana odpovědnost, pokud by tato smlouva o dodávkách v důsledku takového označení byla uveřejněna způsobem odporujícím ZRS, a to bez ohledu na to, která ze smluvních stran tuto smlouvu o</w:t>
      </w:r>
      <w:r w:rsidR="0062608C">
        <w:rPr>
          <w:rFonts w:ascii="Arial" w:hAnsi="Arial" w:cs="Arial"/>
          <w:sz w:val="20"/>
          <w:szCs w:val="20"/>
        </w:rPr>
        <w:t> </w:t>
      </w:r>
      <w:r w:rsidRPr="00BC3B0C">
        <w:rPr>
          <w:rFonts w:ascii="Arial" w:hAnsi="Arial" w:cs="Arial"/>
          <w:sz w:val="20"/>
          <w:szCs w:val="20"/>
        </w:rPr>
        <w:t>dodávkách v registru smluv uveřejnila. S částmi této smlouvy o dodávkách, které druhá smluvní strana neoznačí za své obchodní tajemství před uzavřením této smlouvy o dodávkách, nebude provozovatel jako s </w:t>
      </w:r>
      <w:r w:rsidR="009C2987">
        <w:rPr>
          <w:rFonts w:ascii="Arial" w:hAnsi="Arial" w:cs="Arial"/>
          <w:sz w:val="20"/>
          <w:szCs w:val="20"/>
        </w:rPr>
        <w:t>o</w:t>
      </w:r>
      <w:r w:rsidRPr="00BC3B0C">
        <w:rPr>
          <w:rFonts w:ascii="Arial" w:hAnsi="Arial" w:cs="Arial"/>
          <w:sz w:val="20"/>
          <w:szCs w:val="20"/>
        </w:rPr>
        <w:t xml:space="preserve">bchodním tajemstvím nakládat a ani odpovídat za případnou škodu či jinou újmu takovým postupem vzniklou. Označením obchodního tajemství ve smyslu tohoto </w:t>
      </w:r>
      <w:r w:rsidR="00D80E96" w:rsidRPr="003A66F7">
        <w:rPr>
          <w:rFonts w:ascii="Arial" w:hAnsi="Arial" w:cs="Arial"/>
          <w:sz w:val="20"/>
          <w:szCs w:val="20"/>
        </w:rPr>
        <w:t>odstavce</w:t>
      </w:r>
      <w:r w:rsidRPr="00BC3B0C">
        <w:rPr>
          <w:rFonts w:ascii="Arial" w:hAnsi="Arial" w:cs="Arial"/>
          <w:sz w:val="20"/>
          <w:szCs w:val="20"/>
        </w:rPr>
        <w:t xml:space="preserve"> se rozumí doručení oznámení dopravce provozovateli obsahující přesnou identifikaci dotčených částí této smlouvy o dodávkách včetně odůvodnění, z jakých důvodů jsou za obchodní tajemství považovány. Dopravce se zavazuje neprodleně písemně sdělit provozovateli skutečnost, že takto označené informace přestaly naplňovat znaky obchodního tajemství.</w:t>
      </w:r>
    </w:p>
    <w:p w14:paraId="47589CB8" w14:textId="6C2318C0" w:rsidR="00FE0785" w:rsidRPr="00BC3B0C" w:rsidRDefault="00EB1228" w:rsidP="00FE0785">
      <w:pPr>
        <w:spacing w:after="120"/>
        <w:ind w:left="397" w:hanging="397"/>
        <w:jc w:val="both"/>
        <w:rPr>
          <w:rFonts w:ascii="Arial" w:hAnsi="Arial" w:cs="Arial"/>
          <w:sz w:val="20"/>
          <w:szCs w:val="20"/>
        </w:rPr>
      </w:pPr>
      <w:r w:rsidRPr="00BC3B0C">
        <w:rPr>
          <w:rFonts w:ascii="Arial" w:hAnsi="Arial" w:cs="Arial"/>
          <w:sz w:val="20"/>
          <w:szCs w:val="20"/>
        </w:rPr>
        <w:t>14.</w:t>
      </w:r>
      <w:r w:rsidRPr="00BC3B0C">
        <w:rPr>
          <w:rFonts w:ascii="Arial" w:hAnsi="Arial" w:cs="Arial"/>
          <w:sz w:val="20"/>
          <w:szCs w:val="20"/>
        </w:rPr>
        <w:tab/>
      </w:r>
      <w:r w:rsidR="00FE0785" w:rsidRPr="00BC3B0C">
        <w:rPr>
          <w:rFonts w:ascii="Arial" w:hAnsi="Arial" w:cs="Arial"/>
          <w:sz w:val="20"/>
          <w:szCs w:val="20"/>
        </w:rPr>
        <w:t xml:space="preserve">Je-li tato </w:t>
      </w:r>
      <w:r w:rsidR="00D80E96" w:rsidRPr="003A66F7">
        <w:rPr>
          <w:rFonts w:ascii="Arial" w:hAnsi="Arial" w:cs="Arial"/>
          <w:sz w:val="20"/>
          <w:szCs w:val="20"/>
        </w:rPr>
        <w:t xml:space="preserve">Smlouva smlouvou podle </w:t>
      </w:r>
      <w:r w:rsidR="001C2D45">
        <w:rPr>
          <w:rFonts w:ascii="Arial" w:hAnsi="Arial" w:cs="Arial"/>
          <w:sz w:val="20"/>
          <w:szCs w:val="20"/>
        </w:rPr>
        <w:t>bodu 10 tohoto článku</w:t>
      </w:r>
      <w:r w:rsidR="00FE0785" w:rsidRPr="00BC3B0C">
        <w:rPr>
          <w:rFonts w:ascii="Arial" w:hAnsi="Arial" w:cs="Arial"/>
          <w:sz w:val="20"/>
          <w:szCs w:val="20"/>
        </w:rPr>
        <w:t xml:space="preserve">, zavazuje se každá </w:t>
      </w:r>
      <w:r w:rsidRPr="00BC3B0C">
        <w:rPr>
          <w:rFonts w:ascii="Arial" w:hAnsi="Arial" w:cs="Arial"/>
          <w:sz w:val="20"/>
          <w:szCs w:val="20"/>
        </w:rPr>
        <w:t>smluvní s</w:t>
      </w:r>
      <w:r w:rsidR="00FE0785" w:rsidRPr="00BC3B0C">
        <w:rPr>
          <w:rFonts w:ascii="Arial" w:hAnsi="Arial" w:cs="Arial"/>
          <w:sz w:val="20"/>
          <w:szCs w:val="20"/>
        </w:rPr>
        <w:t xml:space="preserve">trana zachovávat mlčenlivost o všech informacích a skutečnostech, které ji druhá </w:t>
      </w:r>
      <w:r w:rsidRPr="00BC3B0C">
        <w:rPr>
          <w:rFonts w:ascii="Arial" w:hAnsi="Arial" w:cs="Arial"/>
          <w:sz w:val="20"/>
          <w:szCs w:val="20"/>
        </w:rPr>
        <w:t>smluvní s</w:t>
      </w:r>
      <w:r w:rsidR="00FE0785" w:rsidRPr="00BC3B0C">
        <w:rPr>
          <w:rFonts w:ascii="Arial" w:hAnsi="Arial" w:cs="Arial"/>
          <w:sz w:val="20"/>
          <w:szCs w:val="20"/>
        </w:rPr>
        <w:t xml:space="preserve">trana v jakékoliv podobě zpřístupnila v souvislosti s touto </w:t>
      </w:r>
      <w:r w:rsidRPr="00BC3B0C">
        <w:rPr>
          <w:rFonts w:ascii="Arial" w:hAnsi="Arial" w:cs="Arial"/>
          <w:sz w:val="20"/>
          <w:szCs w:val="20"/>
        </w:rPr>
        <w:t>s</w:t>
      </w:r>
      <w:r w:rsidR="00FE0785" w:rsidRPr="00BC3B0C">
        <w:rPr>
          <w:rFonts w:ascii="Arial" w:hAnsi="Arial" w:cs="Arial"/>
          <w:sz w:val="20"/>
          <w:szCs w:val="20"/>
        </w:rPr>
        <w:t xml:space="preserve">mlouvou </w:t>
      </w:r>
      <w:r w:rsidRPr="00BC3B0C">
        <w:rPr>
          <w:rFonts w:ascii="Arial" w:hAnsi="Arial" w:cs="Arial"/>
          <w:sz w:val="20"/>
          <w:szCs w:val="20"/>
        </w:rPr>
        <w:t>o dodávkách</w:t>
      </w:r>
      <w:r w:rsidR="00FE0785" w:rsidRPr="00BC3B0C">
        <w:rPr>
          <w:rFonts w:ascii="Arial" w:hAnsi="Arial" w:cs="Arial"/>
          <w:sz w:val="20"/>
          <w:szCs w:val="20"/>
        </w:rPr>
        <w:t xml:space="preserve">, zejména s jednáním o </w:t>
      </w:r>
      <w:r w:rsidR="00506166" w:rsidRPr="00BC3B0C">
        <w:rPr>
          <w:rFonts w:ascii="Arial" w:hAnsi="Arial" w:cs="Arial"/>
          <w:sz w:val="20"/>
          <w:szCs w:val="20"/>
        </w:rPr>
        <w:t xml:space="preserve">jejím </w:t>
      </w:r>
      <w:r w:rsidR="00FE0785" w:rsidRPr="00BC3B0C">
        <w:rPr>
          <w:rFonts w:ascii="Arial" w:hAnsi="Arial" w:cs="Arial"/>
          <w:sz w:val="20"/>
          <w:szCs w:val="20"/>
        </w:rPr>
        <w:t xml:space="preserve">obsahu anebo </w:t>
      </w:r>
      <w:r w:rsidR="00EE1482">
        <w:rPr>
          <w:rFonts w:ascii="Arial" w:hAnsi="Arial" w:cs="Arial"/>
          <w:sz w:val="20"/>
          <w:szCs w:val="20"/>
        </w:rPr>
        <w:t>jejím</w:t>
      </w:r>
      <w:r w:rsidR="00D80E96" w:rsidRPr="003A66F7">
        <w:rPr>
          <w:rFonts w:ascii="Arial" w:hAnsi="Arial" w:cs="Arial"/>
          <w:sz w:val="20"/>
          <w:szCs w:val="20"/>
        </w:rPr>
        <w:t xml:space="preserve"> </w:t>
      </w:r>
      <w:r w:rsidR="00FE0785" w:rsidRPr="00BC3B0C">
        <w:rPr>
          <w:rFonts w:ascii="Arial" w:hAnsi="Arial" w:cs="Arial"/>
          <w:sz w:val="20"/>
          <w:szCs w:val="20"/>
        </w:rPr>
        <w:t xml:space="preserve">plněním, anebo které ve smyslu </w:t>
      </w:r>
      <w:r w:rsidR="00D80E96" w:rsidRPr="003A66F7">
        <w:rPr>
          <w:rFonts w:ascii="Arial" w:hAnsi="Arial" w:cs="Arial"/>
          <w:sz w:val="20"/>
          <w:szCs w:val="20"/>
        </w:rPr>
        <w:t xml:space="preserve">§ </w:t>
      </w:r>
      <w:r w:rsidR="00FE0785" w:rsidRPr="00BC3B0C">
        <w:rPr>
          <w:rFonts w:ascii="Arial" w:hAnsi="Arial" w:cs="Arial"/>
          <w:sz w:val="20"/>
          <w:szCs w:val="20"/>
        </w:rPr>
        <w:t xml:space="preserve">504 </w:t>
      </w:r>
      <w:r w:rsidR="00506166" w:rsidRPr="00BC3B0C">
        <w:rPr>
          <w:rFonts w:ascii="Arial" w:hAnsi="Arial" w:cs="Arial"/>
          <w:sz w:val="20"/>
          <w:szCs w:val="20"/>
        </w:rPr>
        <w:t>o</w:t>
      </w:r>
      <w:r w:rsidR="00FE0785" w:rsidRPr="00BC3B0C">
        <w:rPr>
          <w:rFonts w:ascii="Arial" w:hAnsi="Arial" w:cs="Arial"/>
          <w:sz w:val="20"/>
          <w:szCs w:val="20"/>
        </w:rPr>
        <w:t>bčanského zákoníku tvoří konkurenčně významné, určitelné, ocenitelné a v příslušných obchodních kruzích běžně nedostupné skutečnosti, které souvisejí se závodem a jejichž vlastník zajišťuje ve svém zájmu odpovídajícím způsobem jejich utajení (dále jen „</w:t>
      </w:r>
      <w:r w:rsidR="00506166" w:rsidRPr="002965E2">
        <w:rPr>
          <w:rFonts w:ascii="Arial" w:hAnsi="Arial" w:cs="Arial"/>
          <w:b/>
          <w:sz w:val="20"/>
          <w:szCs w:val="20"/>
        </w:rPr>
        <w:t>d</w:t>
      </w:r>
      <w:r w:rsidR="00FE0785" w:rsidRPr="002965E2">
        <w:rPr>
          <w:rFonts w:ascii="Arial" w:hAnsi="Arial" w:cs="Arial"/>
          <w:b/>
          <w:sz w:val="20"/>
          <w:szCs w:val="20"/>
        </w:rPr>
        <w:t>ůvěrné informace</w:t>
      </w:r>
      <w:r w:rsidR="00FE0785" w:rsidRPr="00BC3B0C">
        <w:rPr>
          <w:rFonts w:ascii="Arial" w:hAnsi="Arial" w:cs="Arial"/>
          <w:sz w:val="20"/>
          <w:szCs w:val="20"/>
        </w:rPr>
        <w:t>“). S</w:t>
      </w:r>
      <w:r w:rsidR="00506166" w:rsidRPr="00BC3B0C">
        <w:rPr>
          <w:rFonts w:ascii="Arial" w:hAnsi="Arial" w:cs="Arial"/>
          <w:sz w:val="20"/>
          <w:szCs w:val="20"/>
        </w:rPr>
        <w:t>mluvní s</w:t>
      </w:r>
      <w:r w:rsidR="00FE0785" w:rsidRPr="00BC3B0C">
        <w:rPr>
          <w:rFonts w:ascii="Arial" w:hAnsi="Arial" w:cs="Arial"/>
          <w:sz w:val="20"/>
          <w:szCs w:val="20"/>
        </w:rPr>
        <w:t xml:space="preserve">trany se zavazují, že </w:t>
      </w:r>
      <w:r w:rsidR="00506166" w:rsidRPr="00BC3B0C">
        <w:rPr>
          <w:rFonts w:ascii="Arial" w:hAnsi="Arial" w:cs="Arial"/>
          <w:sz w:val="20"/>
          <w:szCs w:val="20"/>
        </w:rPr>
        <w:t>d</w:t>
      </w:r>
      <w:r w:rsidR="00FE0785" w:rsidRPr="00BC3B0C">
        <w:rPr>
          <w:rFonts w:ascii="Arial" w:hAnsi="Arial" w:cs="Arial"/>
          <w:sz w:val="20"/>
          <w:szCs w:val="20"/>
        </w:rPr>
        <w:t xml:space="preserve">ůvěrné informace neposkytnou bez souhlasu druhé </w:t>
      </w:r>
      <w:r w:rsidR="00506166" w:rsidRPr="00BC3B0C">
        <w:rPr>
          <w:rFonts w:ascii="Arial" w:hAnsi="Arial" w:cs="Arial"/>
          <w:sz w:val="20"/>
          <w:szCs w:val="20"/>
        </w:rPr>
        <w:t>smluvní s</w:t>
      </w:r>
      <w:r w:rsidR="00FE0785" w:rsidRPr="00BC3B0C">
        <w:rPr>
          <w:rFonts w:ascii="Arial" w:hAnsi="Arial" w:cs="Arial"/>
          <w:sz w:val="20"/>
          <w:szCs w:val="20"/>
        </w:rPr>
        <w:t xml:space="preserve">trany třetí osobě, a že </w:t>
      </w:r>
      <w:r w:rsidR="00506166" w:rsidRPr="00BC3B0C">
        <w:rPr>
          <w:rFonts w:ascii="Arial" w:hAnsi="Arial" w:cs="Arial"/>
          <w:sz w:val="20"/>
          <w:szCs w:val="20"/>
        </w:rPr>
        <w:t>d</w:t>
      </w:r>
      <w:r w:rsidR="00FE0785" w:rsidRPr="00BC3B0C">
        <w:rPr>
          <w:rFonts w:ascii="Arial" w:hAnsi="Arial" w:cs="Arial"/>
          <w:sz w:val="20"/>
          <w:szCs w:val="20"/>
        </w:rPr>
        <w:t xml:space="preserve">ůvěrné informace použijí za účelem plnění této </w:t>
      </w:r>
      <w:r w:rsidR="00506166" w:rsidRPr="00BC3B0C">
        <w:rPr>
          <w:rFonts w:ascii="Arial" w:hAnsi="Arial" w:cs="Arial"/>
          <w:sz w:val="20"/>
          <w:szCs w:val="20"/>
        </w:rPr>
        <w:t>s</w:t>
      </w:r>
      <w:r w:rsidR="00FE0785" w:rsidRPr="00BC3B0C">
        <w:rPr>
          <w:rFonts w:ascii="Arial" w:hAnsi="Arial" w:cs="Arial"/>
          <w:sz w:val="20"/>
          <w:szCs w:val="20"/>
        </w:rPr>
        <w:t xml:space="preserve">mlouvy </w:t>
      </w:r>
      <w:r w:rsidR="00506166" w:rsidRPr="00BC3B0C">
        <w:rPr>
          <w:rFonts w:ascii="Arial" w:hAnsi="Arial" w:cs="Arial"/>
          <w:sz w:val="20"/>
          <w:szCs w:val="20"/>
        </w:rPr>
        <w:t>o dodávkách</w:t>
      </w:r>
      <w:r w:rsidR="00FE0785" w:rsidRPr="00BC3B0C">
        <w:rPr>
          <w:rFonts w:ascii="Arial" w:hAnsi="Arial" w:cs="Arial"/>
          <w:sz w:val="20"/>
          <w:szCs w:val="20"/>
        </w:rPr>
        <w:t xml:space="preserve">. Za porušení povinnosti mlčenlivosti </w:t>
      </w:r>
      <w:r w:rsidR="00506166" w:rsidRPr="00BC3B0C">
        <w:rPr>
          <w:rFonts w:ascii="Arial" w:hAnsi="Arial" w:cs="Arial"/>
          <w:sz w:val="20"/>
          <w:szCs w:val="20"/>
        </w:rPr>
        <w:t>smluvní s</w:t>
      </w:r>
      <w:r w:rsidR="00FE0785" w:rsidRPr="00BC3B0C">
        <w:rPr>
          <w:rFonts w:ascii="Arial" w:hAnsi="Arial" w:cs="Arial"/>
          <w:sz w:val="20"/>
          <w:szCs w:val="20"/>
        </w:rPr>
        <w:t xml:space="preserve">trany nepovažují, pokud </w:t>
      </w:r>
      <w:r w:rsidR="00506166" w:rsidRPr="00BC3B0C">
        <w:rPr>
          <w:rFonts w:ascii="Arial" w:hAnsi="Arial" w:cs="Arial"/>
          <w:sz w:val="20"/>
          <w:szCs w:val="20"/>
        </w:rPr>
        <w:t>smluvní s</w:t>
      </w:r>
      <w:r w:rsidR="00FE0785" w:rsidRPr="00BC3B0C">
        <w:rPr>
          <w:rFonts w:ascii="Arial" w:hAnsi="Arial" w:cs="Arial"/>
          <w:sz w:val="20"/>
          <w:szCs w:val="20"/>
        </w:rPr>
        <w:t xml:space="preserve">trana sdělí </w:t>
      </w:r>
      <w:r w:rsidR="00506166" w:rsidRPr="00BC3B0C">
        <w:rPr>
          <w:rFonts w:ascii="Arial" w:hAnsi="Arial" w:cs="Arial"/>
          <w:sz w:val="20"/>
          <w:szCs w:val="20"/>
        </w:rPr>
        <w:t>d</w:t>
      </w:r>
      <w:r w:rsidR="00FE0785" w:rsidRPr="00BC3B0C">
        <w:rPr>
          <w:rFonts w:ascii="Arial" w:hAnsi="Arial" w:cs="Arial"/>
          <w:sz w:val="20"/>
          <w:szCs w:val="20"/>
        </w:rPr>
        <w:t xml:space="preserve">ůvěrnou informaci v souvislosti s plněním svých zákonných povinností třetí osobě za předpokladu, že tato třetí osoba je vázána zákonnou mlčenlivostí. Ukončení této </w:t>
      </w:r>
      <w:r w:rsidR="00506166" w:rsidRPr="00BC3B0C">
        <w:rPr>
          <w:rFonts w:ascii="Arial" w:hAnsi="Arial" w:cs="Arial"/>
          <w:sz w:val="20"/>
          <w:szCs w:val="20"/>
        </w:rPr>
        <w:t>s</w:t>
      </w:r>
      <w:r w:rsidR="00FE0785" w:rsidRPr="00BC3B0C">
        <w:rPr>
          <w:rFonts w:ascii="Arial" w:hAnsi="Arial" w:cs="Arial"/>
          <w:sz w:val="20"/>
          <w:szCs w:val="20"/>
        </w:rPr>
        <w:t xml:space="preserve">mlouvy </w:t>
      </w:r>
      <w:r w:rsidR="00506166" w:rsidRPr="00BC3B0C">
        <w:rPr>
          <w:rFonts w:ascii="Arial" w:hAnsi="Arial" w:cs="Arial"/>
          <w:sz w:val="20"/>
          <w:szCs w:val="20"/>
        </w:rPr>
        <w:t xml:space="preserve">o dodávkách </w:t>
      </w:r>
      <w:r w:rsidR="00FE0785" w:rsidRPr="00BC3B0C">
        <w:rPr>
          <w:rFonts w:ascii="Arial" w:hAnsi="Arial" w:cs="Arial"/>
          <w:sz w:val="20"/>
          <w:szCs w:val="20"/>
        </w:rPr>
        <w:t>nemá vliv na povinnost zachovávat mlčenlivost o</w:t>
      </w:r>
      <w:r w:rsidR="00D80E96" w:rsidRPr="003A66F7">
        <w:rPr>
          <w:rFonts w:ascii="Arial" w:hAnsi="Arial" w:cs="Arial"/>
          <w:sz w:val="20"/>
          <w:szCs w:val="20"/>
        </w:rPr>
        <w:t xml:space="preserve"> </w:t>
      </w:r>
      <w:r w:rsidR="00506166" w:rsidRPr="00BC3B0C">
        <w:rPr>
          <w:rFonts w:ascii="Arial" w:hAnsi="Arial" w:cs="Arial"/>
          <w:sz w:val="20"/>
          <w:szCs w:val="20"/>
        </w:rPr>
        <w:t>d</w:t>
      </w:r>
      <w:r w:rsidR="00FE0785" w:rsidRPr="00BC3B0C">
        <w:rPr>
          <w:rFonts w:ascii="Arial" w:hAnsi="Arial" w:cs="Arial"/>
          <w:sz w:val="20"/>
          <w:szCs w:val="20"/>
        </w:rPr>
        <w:t xml:space="preserve">ůvěrných informacích a uchovávat </w:t>
      </w:r>
      <w:r w:rsidR="00506166" w:rsidRPr="00BC3B0C">
        <w:rPr>
          <w:rFonts w:ascii="Arial" w:hAnsi="Arial" w:cs="Arial"/>
          <w:sz w:val="20"/>
          <w:szCs w:val="20"/>
        </w:rPr>
        <w:t>d</w:t>
      </w:r>
      <w:r w:rsidR="00FE0785" w:rsidRPr="00BC3B0C">
        <w:rPr>
          <w:rFonts w:ascii="Arial" w:hAnsi="Arial" w:cs="Arial"/>
          <w:sz w:val="20"/>
          <w:szCs w:val="20"/>
        </w:rPr>
        <w:t>ůvěrné informace v tajnosti.</w:t>
      </w:r>
    </w:p>
    <w:p w14:paraId="2D8126FF" w14:textId="14BB9105" w:rsidR="00D4714A" w:rsidRPr="00BC3B0C" w:rsidRDefault="001503A9" w:rsidP="00541C2F">
      <w:pPr>
        <w:spacing w:after="120"/>
        <w:ind w:left="397" w:hanging="397"/>
        <w:jc w:val="both"/>
        <w:rPr>
          <w:rFonts w:ascii="Arial" w:hAnsi="Arial" w:cs="Arial"/>
          <w:sz w:val="20"/>
          <w:szCs w:val="20"/>
        </w:rPr>
      </w:pPr>
      <w:r w:rsidRPr="00BC3B0C">
        <w:rPr>
          <w:rFonts w:ascii="Arial" w:hAnsi="Arial" w:cs="Arial"/>
          <w:sz w:val="20"/>
          <w:szCs w:val="20"/>
        </w:rPr>
        <w:t>1</w:t>
      </w:r>
      <w:r w:rsidR="00506166" w:rsidRPr="00BC3B0C">
        <w:rPr>
          <w:rFonts w:ascii="Arial" w:hAnsi="Arial" w:cs="Arial"/>
          <w:sz w:val="20"/>
          <w:szCs w:val="20"/>
        </w:rPr>
        <w:t>5</w:t>
      </w:r>
      <w:r w:rsidR="00D4714A" w:rsidRPr="00BC3B0C">
        <w:rPr>
          <w:rFonts w:ascii="Arial" w:hAnsi="Arial" w:cs="Arial"/>
          <w:sz w:val="20"/>
          <w:szCs w:val="20"/>
        </w:rPr>
        <w:t>.</w:t>
      </w:r>
      <w:r w:rsidR="00D4714A" w:rsidRPr="00BC3B0C">
        <w:rPr>
          <w:rFonts w:ascii="Arial" w:hAnsi="Arial" w:cs="Arial"/>
          <w:sz w:val="20"/>
          <w:szCs w:val="20"/>
        </w:rPr>
        <w:tab/>
      </w:r>
      <w:r w:rsidR="001C60C1" w:rsidRPr="00BC3B0C">
        <w:rPr>
          <w:rFonts w:ascii="Arial" w:hAnsi="Arial" w:cs="Arial"/>
          <w:sz w:val="20"/>
          <w:szCs w:val="20"/>
        </w:rPr>
        <w:t>Tato s</w:t>
      </w:r>
      <w:r w:rsidR="00D4714A" w:rsidRPr="00BC3B0C">
        <w:rPr>
          <w:rFonts w:ascii="Arial" w:hAnsi="Arial" w:cs="Arial"/>
          <w:sz w:val="20"/>
          <w:szCs w:val="20"/>
        </w:rPr>
        <w:t xml:space="preserve">mlouva </w:t>
      </w:r>
      <w:r w:rsidR="001C60C1" w:rsidRPr="00BC3B0C">
        <w:rPr>
          <w:rFonts w:ascii="Arial" w:hAnsi="Arial" w:cs="Arial"/>
          <w:sz w:val="20"/>
          <w:szCs w:val="20"/>
        </w:rPr>
        <w:t xml:space="preserve">o dodávkách </w:t>
      </w:r>
      <w:r w:rsidR="00D4714A" w:rsidRPr="00BC3B0C">
        <w:rPr>
          <w:rFonts w:ascii="Arial" w:hAnsi="Arial" w:cs="Arial"/>
          <w:sz w:val="20"/>
          <w:szCs w:val="20"/>
        </w:rPr>
        <w:t xml:space="preserve">je vyhotovena ve </w:t>
      </w:r>
      <w:r w:rsidR="00D06278">
        <w:rPr>
          <w:rFonts w:ascii="Arial" w:hAnsi="Arial" w:cs="Arial"/>
          <w:sz w:val="20"/>
          <w:szCs w:val="20"/>
        </w:rPr>
        <w:t>třech</w:t>
      </w:r>
      <w:r w:rsidR="00D06278" w:rsidRPr="00BC3B0C">
        <w:rPr>
          <w:rFonts w:ascii="Arial" w:hAnsi="Arial" w:cs="Arial"/>
          <w:sz w:val="20"/>
          <w:szCs w:val="20"/>
        </w:rPr>
        <w:t xml:space="preserve"> </w:t>
      </w:r>
      <w:r w:rsidR="00E4598D" w:rsidRPr="00BC3B0C">
        <w:rPr>
          <w:rFonts w:ascii="Arial" w:hAnsi="Arial" w:cs="Arial"/>
          <w:sz w:val="20"/>
          <w:szCs w:val="20"/>
        </w:rPr>
        <w:t>(</w:t>
      </w:r>
      <w:r w:rsidR="00D06278">
        <w:rPr>
          <w:rFonts w:ascii="Arial" w:hAnsi="Arial" w:cs="Arial"/>
          <w:sz w:val="20"/>
          <w:szCs w:val="20"/>
        </w:rPr>
        <w:t>3</w:t>
      </w:r>
      <w:r w:rsidR="00E4598D" w:rsidRPr="00BC3B0C">
        <w:rPr>
          <w:rFonts w:ascii="Arial" w:hAnsi="Arial" w:cs="Arial"/>
          <w:sz w:val="20"/>
          <w:szCs w:val="20"/>
        </w:rPr>
        <w:t>)</w:t>
      </w:r>
      <w:r w:rsidR="00D4714A" w:rsidRPr="00BC3B0C">
        <w:rPr>
          <w:rFonts w:ascii="Arial" w:hAnsi="Arial" w:cs="Arial"/>
          <w:sz w:val="20"/>
          <w:szCs w:val="20"/>
        </w:rPr>
        <w:t xml:space="preserve"> stejnopisech s platností originálu, z nichž </w:t>
      </w:r>
      <w:r w:rsidR="00D06278">
        <w:rPr>
          <w:rFonts w:ascii="Arial" w:hAnsi="Arial" w:cs="Arial"/>
          <w:sz w:val="20"/>
          <w:szCs w:val="20"/>
        </w:rPr>
        <w:t xml:space="preserve">dopravce obdrží </w:t>
      </w:r>
      <w:r w:rsidR="00E4598D" w:rsidRPr="00BC3B0C">
        <w:rPr>
          <w:rFonts w:ascii="Arial" w:hAnsi="Arial" w:cs="Arial"/>
          <w:sz w:val="20"/>
          <w:szCs w:val="20"/>
        </w:rPr>
        <w:t>jeden (</w:t>
      </w:r>
      <w:r w:rsidR="00400993" w:rsidRPr="00BC3B0C">
        <w:rPr>
          <w:rFonts w:ascii="Arial" w:hAnsi="Arial" w:cs="Arial"/>
          <w:sz w:val="20"/>
          <w:szCs w:val="20"/>
        </w:rPr>
        <w:t>1</w:t>
      </w:r>
      <w:r w:rsidR="00E4598D" w:rsidRPr="00BC3B0C">
        <w:rPr>
          <w:rFonts w:ascii="Arial" w:hAnsi="Arial" w:cs="Arial"/>
          <w:sz w:val="20"/>
          <w:szCs w:val="20"/>
        </w:rPr>
        <w:t>)</w:t>
      </w:r>
      <w:r w:rsidR="00D4714A" w:rsidRPr="00BC3B0C">
        <w:rPr>
          <w:rFonts w:ascii="Arial" w:hAnsi="Arial" w:cs="Arial"/>
          <w:sz w:val="20"/>
          <w:szCs w:val="20"/>
        </w:rPr>
        <w:t xml:space="preserve"> </w:t>
      </w:r>
      <w:r w:rsidR="00D06278">
        <w:rPr>
          <w:rFonts w:ascii="Arial" w:hAnsi="Arial" w:cs="Arial"/>
          <w:sz w:val="20"/>
          <w:szCs w:val="20"/>
        </w:rPr>
        <w:t>stejnopis, a</w:t>
      </w:r>
      <w:r w:rsidR="00D4714A" w:rsidRPr="00BC3B0C">
        <w:rPr>
          <w:rFonts w:ascii="Arial" w:hAnsi="Arial" w:cs="Arial"/>
          <w:sz w:val="20"/>
          <w:szCs w:val="20"/>
        </w:rPr>
        <w:t xml:space="preserve"> </w:t>
      </w:r>
      <w:r w:rsidR="00D326EA" w:rsidRPr="00BC3B0C">
        <w:rPr>
          <w:rFonts w:ascii="Arial" w:hAnsi="Arial" w:cs="Arial"/>
          <w:sz w:val="20"/>
          <w:szCs w:val="20"/>
        </w:rPr>
        <w:t>provozovatel</w:t>
      </w:r>
      <w:r w:rsidR="000630D2" w:rsidRPr="00BC3B0C">
        <w:rPr>
          <w:rFonts w:ascii="Arial" w:hAnsi="Arial" w:cs="Arial"/>
          <w:sz w:val="20"/>
          <w:szCs w:val="20"/>
        </w:rPr>
        <w:t xml:space="preserve"> </w:t>
      </w:r>
      <w:r w:rsidR="00D06278">
        <w:rPr>
          <w:rFonts w:ascii="Arial" w:hAnsi="Arial" w:cs="Arial"/>
          <w:sz w:val="20"/>
          <w:szCs w:val="20"/>
        </w:rPr>
        <w:t xml:space="preserve">obdrží dva </w:t>
      </w:r>
      <w:r w:rsidR="00E4598D" w:rsidRPr="00BC3B0C">
        <w:rPr>
          <w:rFonts w:ascii="Arial" w:hAnsi="Arial" w:cs="Arial"/>
          <w:sz w:val="20"/>
          <w:szCs w:val="20"/>
        </w:rPr>
        <w:t>(</w:t>
      </w:r>
      <w:r w:rsidR="00D06278">
        <w:rPr>
          <w:rFonts w:ascii="Arial" w:hAnsi="Arial" w:cs="Arial"/>
          <w:sz w:val="20"/>
          <w:szCs w:val="20"/>
        </w:rPr>
        <w:t>2</w:t>
      </w:r>
      <w:r w:rsidR="00E4598D" w:rsidRPr="00BC3B0C">
        <w:rPr>
          <w:rFonts w:ascii="Arial" w:hAnsi="Arial" w:cs="Arial"/>
          <w:sz w:val="20"/>
          <w:szCs w:val="20"/>
        </w:rPr>
        <w:t>)</w:t>
      </w:r>
      <w:r w:rsidR="00D4714A" w:rsidRPr="00BC3B0C">
        <w:rPr>
          <w:rFonts w:ascii="Arial" w:hAnsi="Arial" w:cs="Arial"/>
          <w:sz w:val="20"/>
          <w:szCs w:val="20"/>
        </w:rPr>
        <w:t> </w:t>
      </w:r>
      <w:r w:rsidR="00D06278">
        <w:rPr>
          <w:rFonts w:ascii="Arial" w:hAnsi="Arial" w:cs="Arial"/>
          <w:sz w:val="20"/>
          <w:szCs w:val="20"/>
        </w:rPr>
        <w:t>stejnopisy</w:t>
      </w:r>
      <w:r w:rsidR="00D4714A" w:rsidRPr="00BC3B0C">
        <w:rPr>
          <w:rFonts w:ascii="Arial" w:hAnsi="Arial" w:cs="Arial"/>
          <w:sz w:val="20"/>
          <w:szCs w:val="20"/>
        </w:rPr>
        <w:t>.</w:t>
      </w:r>
    </w:p>
    <w:p w14:paraId="172845C0" w14:textId="42BA90A0" w:rsidR="001C60C1" w:rsidRPr="00BC3B0C" w:rsidRDefault="001C60C1" w:rsidP="00646DC7">
      <w:pPr>
        <w:spacing w:after="120"/>
        <w:ind w:left="397" w:hanging="397"/>
        <w:jc w:val="both"/>
        <w:rPr>
          <w:rFonts w:ascii="Arial" w:hAnsi="Arial" w:cs="Arial"/>
          <w:sz w:val="20"/>
          <w:szCs w:val="20"/>
        </w:rPr>
      </w:pPr>
      <w:r w:rsidRPr="00BC3B0C">
        <w:rPr>
          <w:rFonts w:ascii="Arial" w:hAnsi="Arial" w:cs="Arial"/>
          <w:sz w:val="20"/>
          <w:szCs w:val="20"/>
        </w:rPr>
        <w:t>1</w:t>
      </w:r>
      <w:r w:rsidR="00506166" w:rsidRPr="00BC3B0C">
        <w:rPr>
          <w:rFonts w:ascii="Arial" w:hAnsi="Arial" w:cs="Arial"/>
          <w:sz w:val="20"/>
          <w:szCs w:val="20"/>
        </w:rPr>
        <w:t>6</w:t>
      </w:r>
      <w:r w:rsidRPr="00BC3B0C">
        <w:rPr>
          <w:rFonts w:ascii="Arial" w:hAnsi="Arial" w:cs="Arial"/>
          <w:sz w:val="20"/>
          <w:szCs w:val="20"/>
        </w:rPr>
        <w:t>.</w:t>
      </w:r>
      <w:r w:rsidRPr="00BC3B0C">
        <w:rPr>
          <w:rFonts w:ascii="Arial" w:hAnsi="Arial" w:cs="Arial"/>
          <w:sz w:val="20"/>
          <w:szCs w:val="20"/>
        </w:rPr>
        <w:tab/>
        <w:t>Nedílnou součást této smlouvy o dodávkách tvoří</w:t>
      </w:r>
      <w:r w:rsidR="005627BC">
        <w:rPr>
          <w:rFonts w:ascii="Arial" w:hAnsi="Arial" w:cs="Arial"/>
          <w:sz w:val="20"/>
          <w:szCs w:val="20"/>
        </w:rPr>
        <w:t xml:space="preserve"> </w:t>
      </w:r>
      <w:r w:rsidRPr="00BC3B0C">
        <w:rPr>
          <w:rFonts w:ascii="Arial" w:hAnsi="Arial" w:cs="Arial"/>
          <w:sz w:val="20"/>
          <w:szCs w:val="20"/>
        </w:rPr>
        <w:t xml:space="preserve">příloha č. 1 – </w:t>
      </w:r>
      <w:r w:rsidR="00BC3B0C" w:rsidRPr="00BC3B0C">
        <w:rPr>
          <w:rFonts w:ascii="Arial" w:hAnsi="Arial" w:cs="Arial"/>
          <w:sz w:val="20"/>
          <w:szCs w:val="20"/>
        </w:rPr>
        <w:t>H</w:t>
      </w:r>
      <w:r w:rsidRPr="00BC3B0C">
        <w:rPr>
          <w:rFonts w:ascii="Arial" w:hAnsi="Arial" w:cs="Arial"/>
          <w:sz w:val="20"/>
          <w:szCs w:val="20"/>
        </w:rPr>
        <w:t>ybridní model</w:t>
      </w:r>
      <w:r w:rsidR="005627BC">
        <w:rPr>
          <w:rFonts w:ascii="Arial" w:hAnsi="Arial" w:cs="Arial"/>
          <w:sz w:val="20"/>
          <w:szCs w:val="20"/>
        </w:rPr>
        <w:t>.</w:t>
      </w:r>
    </w:p>
    <w:p w14:paraId="4C8813C8" w14:textId="7007587A" w:rsidR="0078156E" w:rsidRPr="00BC3B0C" w:rsidRDefault="008B3A14" w:rsidP="00B778A3">
      <w:pPr>
        <w:rPr>
          <w:rFonts w:ascii="Arial" w:hAnsi="Arial" w:cs="Arial"/>
          <w:sz w:val="20"/>
          <w:szCs w:val="20"/>
        </w:rPr>
      </w:pPr>
      <w:r>
        <w:rPr>
          <w:rFonts w:ascii="Arial" w:hAnsi="Arial" w:cs="Arial"/>
          <w:sz w:val="20"/>
          <w:szCs w:val="20"/>
        </w:rPr>
        <w:br w:type="page"/>
      </w:r>
    </w:p>
    <w:tbl>
      <w:tblPr>
        <w:tblW w:w="0" w:type="auto"/>
        <w:tblLook w:val="04A0" w:firstRow="1" w:lastRow="0" w:firstColumn="1" w:lastColumn="0" w:noHBand="0" w:noVBand="1"/>
      </w:tblPr>
      <w:tblGrid>
        <w:gridCol w:w="8436"/>
        <w:gridCol w:w="1202"/>
      </w:tblGrid>
      <w:tr w:rsidR="00F55CC8" w:rsidRPr="00BC3B0C" w14:paraId="4EA94905" w14:textId="77777777" w:rsidTr="00435BA6">
        <w:tc>
          <w:tcPr>
            <w:tcW w:w="4819" w:type="dxa"/>
            <w:shd w:val="clear" w:color="auto" w:fill="auto"/>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110"/>
            </w:tblGrid>
            <w:tr w:rsidR="0078156E" w:rsidRPr="00F970AA" w14:paraId="1432F24D" w14:textId="77777777" w:rsidTr="00313BA6">
              <w:tc>
                <w:tcPr>
                  <w:tcW w:w="4523" w:type="dxa"/>
                </w:tcPr>
                <w:p w14:paraId="2595380F" w14:textId="3A4FF67A" w:rsidR="0078156E" w:rsidRPr="00F970AA" w:rsidRDefault="0078156E" w:rsidP="00313BA6">
                  <w:pPr>
                    <w:spacing w:line="276" w:lineRule="auto"/>
                    <w:rPr>
                      <w:rFonts w:ascii="Arial" w:hAnsi="Arial" w:cs="Arial"/>
                      <w:b/>
                      <w:sz w:val="20"/>
                      <w:szCs w:val="20"/>
                    </w:rPr>
                  </w:pPr>
                  <w:bookmarkStart w:id="11" w:name="_Hlk506901971"/>
                  <w:r w:rsidRPr="00F970AA">
                    <w:rPr>
                      <w:rFonts w:ascii="Arial" w:hAnsi="Arial" w:cs="Arial"/>
                      <w:b/>
                      <w:sz w:val="20"/>
                      <w:szCs w:val="20"/>
                    </w:rPr>
                    <w:lastRenderedPageBreak/>
                    <w:t>Za provozovatele</w:t>
                  </w:r>
                </w:p>
                <w:p w14:paraId="68946778" w14:textId="77777777" w:rsidR="0078156E" w:rsidRPr="00F970AA" w:rsidRDefault="0078156E" w:rsidP="00313BA6">
                  <w:pPr>
                    <w:spacing w:line="276" w:lineRule="auto"/>
                    <w:rPr>
                      <w:rFonts w:ascii="Arial" w:hAnsi="Arial" w:cs="Arial"/>
                      <w:b/>
                      <w:sz w:val="20"/>
                      <w:szCs w:val="20"/>
                    </w:rPr>
                  </w:pPr>
                </w:p>
              </w:tc>
              <w:tc>
                <w:tcPr>
                  <w:tcW w:w="4516" w:type="dxa"/>
                </w:tcPr>
                <w:p w14:paraId="20526680" w14:textId="6C25A0FC" w:rsidR="0078156E" w:rsidRPr="00F970AA" w:rsidRDefault="0078156E" w:rsidP="0078156E">
                  <w:pPr>
                    <w:spacing w:line="276" w:lineRule="auto"/>
                    <w:rPr>
                      <w:rFonts w:ascii="Arial" w:hAnsi="Arial" w:cs="Arial"/>
                      <w:b/>
                      <w:sz w:val="20"/>
                      <w:szCs w:val="20"/>
                    </w:rPr>
                  </w:pPr>
                  <w:r w:rsidRPr="00F970AA">
                    <w:rPr>
                      <w:rFonts w:ascii="Arial" w:hAnsi="Arial" w:cs="Arial"/>
                      <w:b/>
                      <w:sz w:val="20"/>
                      <w:szCs w:val="20"/>
                    </w:rPr>
                    <w:t>Za dopravce</w:t>
                  </w:r>
                </w:p>
              </w:tc>
            </w:tr>
            <w:tr w:rsidR="0078156E" w:rsidRPr="00F970AA" w14:paraId="6FF2F1C4" w14:textId="77777777" w:rsidTr="00313BA6">
              <w:tc>
                <w:tcPr>
                  <w:tcW w:w="4523" w:type="dxa"/>
                </w:tcPr>
                <w:p w14:paraId="0186377D" w14:textId="4A3976F6" w:rsidR="0078156E" w:rsidRPr="00F970AA" w:rsidRDefault="0078156E" w:rsidP="0063636A">
                  <w:pPr>
                    <w:spacing w:line="276" w:lineRule="auto"/>
                    <w:rPr>
                      <w:rFonts w:ascii="Arial" w:hAnsi="Arial" w:cs="Arial"/>
                      <w:sz w:val="20"/>
                      <w:szCs w:val="20"/>
                    </w:rPr>
                  </w:pPr>
                  <w:r w:rsidRPr="00F970AA">
                    <w:rPr>
                      <w:rFonts w:ascii="Arial" w:hAnsi="Arial" w:cs="Arial"/>
                      <w:sz w:val="20"/>
                      <w:szCs w:val="20"/>
                    </w:rPr>
                    <w:t>V Hradci Králové dne ____________20</w:t>
                  </w:r>
                  <w:r w:rsidR="0063636A">
                    <w:rPr>
                      <w:rFonts w:ascii="Arial" w:hAnsi="Arial" w:cs="Arial"/>
                      <w:sz w:val="20"/>
                      <w:szCs w:val="20"/>
                    </w:rPr>
                    <w:t>20</w:t>
                  </w:r>
                </w:p>
              </w:tc>
              <w:tc>
                <w:tcPr>
                  <w:tcW w:w="4516" w:type="dxa"/>
                </w:tcPr>
                <w:p w14:paraId="150B5CC7" w14:textId="0FF2B766" w:rsidR="0078156E" w:rsidRPr="00F970AA" w:rsidRDefault="0078156E" w:rsidP="0063636A">
                  <w:pPr>
                    <w:spacing w:line="276" w:lineRule="auto"/>
                    <w:rPr>
                      <w:rFonts w:ascii="Arial" w:hAnsi="Arial" w:cs="Arial"/>
                      <w:sz w:val="20"/>
                      <w:szCs w:val="20"/>
                    </w:rPr>
                  </w:pPr>
                  <w:r w:rsidRPr="00F970AA">
                    <w:rPr>
                      <w:rFonts w:ascii="Arial" w:hAnsi="Arial" w:cs="Arial"/>
                      <w:sz w:val="20"/>
                      <w:szCs w:val="20"/>
                    </w:rPr>
                    <w:t>V ____________ dne _____________20</w:t>
                  </w:r>
                  <w:r w:rsidR="0063636A">
                    <w:rPr>
                      <w:rFonts w:ascii="Arial" w:hAnsi="Arial" w:cs="Arial"/>
                      <w:sz w:val="20"/>
                      <w:szCs w:val="20"/>
                    </w:rPr>
                    <w:t>20</w:t>
                  </w:r>
                </w:p>
              </w:tc>
            </w:tr>
            <w:tr w:rsidR="0078156E" w:rsidRPr="00F970AA" w14:paraId="0FEBBC74" w14:textId="77777777" w:rsidTr="00313BA6">
              <w:tc>
                <w:tcPr>
                  <w:tcW w:w="4523" w:type="dxa"/>
                </w:tcPr>
                <w:p w14:paraId="5631EFBD" w14:textId="77777777" w:rsidR="0078156E" w:rsidRPr="00F970AA" w:rsidRDefault="0078156E" w:rsidP="00313BA6">
                  <w:pPr>
                    <w:spacing w:line="276" w:lineRule="auto"/>
                    <w:rPr>
                      <w:rFonts w:ascii="Arial" w:hAnsi="Arial" w:cs="Arial"/>
                      <w:sz w:val="20"/>
                      <w:szCs w:val="20"/>
                    </w:rPr>
                  </w:pPr>
                </w:p>
                <w:p w14:paraId="54C70DBC" w14:textId="77777777" w:rsidR="0078156E" w:rsidRPr="00F970AA" w:rsidRDefault="0078156E" w:rsidP="00313BA6">
                  <w:pPr>
                    <w:spacing w:line="276" w:lineRule="auto"/>
                    <w:rPr>
                      <w:rFonts w:ascii="Arial" w:hAnsi="Arial" w:cs="Arial"/>
                      <w:sz w:val="20"/>
                      <w:szCs w:val="20"/>
                    </w:rPr>
                  </w:pPr>
                </w:p>
                <w:p w14:paraId="7366CA99" w14:textId="77777777" w:rsidR="0078156E" w:rsidRPr="00F970AA" w:rsidRDefault="0078156E" w:rsidP="00313BA6">
                  <w:pPr>
                    <w:spacing w:line="276" w:lineRule="auto"/>
                    <w:rPr>
                      <w:rFonts w:ascii="Arial" w:hAnsi="Arial" w:cs="Arial"/>
                      <w:sz w:val="20"/>
                      <w:szCs w:val="20"/>
                    </w:rPr>
                  </w:pPr>
                </w:p>
                <w:p w14:paraId="49773F99" w14:textId="77777777" w:rsidR="0078156E" w:rsidRPr="00F970AA" w:rsidRDefault="0078156E" w:rsidP="00313BA6">
                  <w:pPr>
                    <w:spacing w:line="276" w:lineRule="auto"/>
                    <w:rPr>
                      <w:rFonts w:ascii="Arial" w:hAnsi="Arial" w:cs="Arial"/>
                      <w:sz w:val="20"/>
                      <w:szCs w:val="20"/>
                    </w:rPr>
                  </w:pPr>
                  <w:r w:rsidRPr="00F970AA">
                    <w:rPr>
                      <w:rFonts w:ascii="Arial" w:hAnsi="Arial" w:cs="Arial"/>
                      <w:sz w:val="20"/>
                      <w:szCs w:val="20"/>
                    </w:rPr>
                    <w:t>___________________________________</w:t>
                  </w:r>
                </w:p>
              </w:tc>
              <w:tc>
                <w:tcPr>
                  <w:tcW w:w="4516" w:type="dxa"/>
                </w:tcPr>
                <w:p w14:paraId="7ECFBFB2" w14:textId="77777777" w:rsidR="0078156E" w:rsidRPr="00F970AA" w:rsidRDefault="0078156E" w:rsidP="00313BA6">
                  <w:pPr>
                    <w:spacing w:line="276" w:lineRule="auto"/>
                    <w:rPr>
                      <w:rFonts w:ascii="Arial" w:hAnsi="Arial" w:cs="Arial"/>
                      <w:sz w:val="20"/>
                      <w:szCs w:val="20"/>
                    </w:rPr>
                  </w:pPr>
                </w:p>
                <w:p w14:paraId="02FA1E2F" w14:textId="77777777" w:rsidR="0078156E" w:rsidRPr="00F970AA" w:rsidRDefault="0078156E" w:rsidP="00313BA6">
                  <w:pPr>
                    <w:spacing w:line="276" w:lineRule="auto"/>
                    <w:rPr>
                      <w:rFonts w:ascii="Arial" w:hAnsi="Arial" w:cs="Arial"/>
                      <w:sz w:val="20"/>
                      <w:szCs w:val="20"/>
                    </w:rPr>
                  </w:pPr>
                </w:p>
                <w:p w14:paraId="506490C5" w14:textId="77777777" w:rsidR="0078156E" w:rsidRPr="00F970AA" w:rsidRDefault="0078156E" w:rsidP="00313BA6">
                  <w:pPr>
                    <w:spacing w:line="276" w:lineRule="auto"/>
                    <w:rPr>
                      <w:rFonts w:ascii="Arial" w:hAnsi="Arial" w:cs="Arial"/>
                      <w:sz w:val="20"/>
                      <w:szCs w:val="20"/>
                    </w:rPr>
                  </w:pPr>
                </w:p>
                <w:p w14:paraId="3D12A90A" w14:textId="77777777" w:rsidR="0078156E" w:rsidRPr="00F970AA" w:rsidRDefault="0078156E" w:rsidP="00313BA6">
                  <w:pPr>
                    <w:spacing w:line="276" w:lineRule="auto"/>
                    <w:rPr>
                      <w:rFonts w:ascii="Arial" w:hAnsi="Arial" w:cs="Arial"/>
                      <w:sz w:val="20"/>
                      <w:szCs w:val="20"/>
                    </w:rPr>
                  </w:pPr>
                  <w:r w:rsidRPr="00F970AA">
                    <w:rPr>
                      <w:rFonts w:ascii="Arial" w:hAnsi="Arial" w:cs="Arial"/>
                      <w:sz w:val="20"/>
                      <w:szCs w:val="20"/>
                    </w:rPr>
                    <w:t>___________________________________</w:t>
                  </w:r>
                </w:p>
              </w:tc>
            </w:tr>
            <w:tr w:rsidR="0078156E" w:rsidRPr="00F970AA" w14:paraId="20169CED" w14:textId="77777777" w:rsidTr="00313BA6">
              <w:tc>
                <w:tcPr>
                  <w:tcW w:w="4523" w:type="dxa"/>
                </w:tcPr>
                <w:p w14:paraId="61A95D1E" w14:textId="6F170AB8" w:rsidR="0078156E" w:rsidRPr="00F970AA" w:rsidRDefault="0078156E" w:rsidP="00313BA6">
                  <w:pPr>
                    <w:spacing w:line="276" w:lineRule="auto"/>
                    <w:rPr>
                      <w:rFonts w:ascii="Arial" w:hAnsi="Arial" w:cs="Arial"/>
                      <w:b/>
                      <w:sz w:val="20"/>
                      <w:szCs w:val="20"/>
                    </w:rPr>
                  </w:pPr>
                  <w:r w:rsidRPr="00F970AA">
                    <w:rPr>
                      <w:rFonts w:ascii="Arial" w:hAnsi="Arial" w:cs="Arial"/>
                      <w:b/>
                      <w:sz w:val="20"/>
                      <w:szCs w:val="20"/>
                    </w:rPr>
                    <w:t>Správa železni</w:t>
                  </w:r>
                  <w:r w:rsidR="0063636A">
                    <w:rPr>
                      <w:rFonts w:ascii="Arial" w:hAnsi="Arial" w:cs="Arial"/>
                      <w:b/>
                      <w:sz w:val="20"/>
                      <w:szCs w:val="20"/>
                    </w:rPr>
                    <w:t>c</w:t>
                  </w:r>
                  <w:r w:rsidRPr="00F970AA">
                    <w:rPr>
                      <w:rFonts w:ascii="Arial" w:hAnsi="Arial" w:cs="Arial"/>
                      <w:b/>
                      <w:sz w:val="20"/>
                      <w:szCs w:val="20"/>
                    </w:rPr>
                    <w:t>, státní organizace</w:t>
                  </w:r>
                </w:p>
                <w:p w14:paraId="396643D5" w14:textId="2CD385D4" w:rsidR="0078156E" w:rsidRPr="00F970AA" w:rsidRDefault="0078156E" w:rsidP="00313BA6">
                  <w:pPr>
                    <w:spacing w:line="276" w:lineRule="auto"/>
                    <w:rPr>
                      <w:rFonts w:ascii="Arial" w:hAnsi="Arial" w:cs="Arial"/>
                      <w:sz w:val="20"/>
                      <w:szCs w:val="20"/>
                    </w:rPr>
                  </w:pPr>
                  <w:r w:rsidRPr="00F970AA">
                    <w:rPr>
                      <w:rFonts w:ascii="Arial" w:hAnsi="Arial" w:cs="Arial"/>
                      <w:sz w:val="20"/>
                      <w:szCs w:val="20"/>
                    </w:rPr>
                    <w:t xml:space="preserve">Jméno: </w:t>
                  </w:r>
                </w:p>
                <w:p w14:paraId="2345067E" w14:textId="7F319950" w:rsidR="0078156E" w:rsidRPr="00F970AA" w:rsidRDefault="0078156E" w:rsidP="006B50A9">
                  <w:pPr>
                    <w:spacing w:line="276" w:lineRule="auto"/>
                    <w:rPr>
                      <w:rFonts w:ascii="Arial" w:hAnsi="Arial" w:cs="Arial"/>
                      <w:sz w:val="20"/>
                      <w:szCs w:val="20"/>
                    </w:rPr>
                  </w:pPr>
                  <w:r w:rsidRPr="00F970AA">
                    <w:rPr>
                      <w:rFonts w:ascii="Arial" w:hAnsi="Arial" w:cs="Arial"/>
                      <w:sz w:val="20"/>
                      <w:szCs w:val="20"/>
                    </w:rPr>
                    <w:t xml:space="preserve">Funkce: </w:t>
                  </w:r>
                </w:p>
              </w:tc>
              <w:tc>
                <w:tcPr>
                  <w:tcW w:w="4516" w:type="dxa"/>
                </w:tcPr>
                <w:p w14:paraId="58D56140" w14:textId="77777777" w:rsidR="0078156E" w:rsidRPr="00E52DDE" w:rsidRDefault="00E52DDE" w:rsidP="00677A38">
                  <w:pPr>
                    <w:spacing w:line="276" w:lineRule="auto"/>
                    <w:rPr>
                      <w:rFonts w:ascii="Arial" w:hAnsi="Arial" w:cs="Arial"/>
                      <w:b/>
                      <w:bCs/>
                      <w:sz w:val="20"/>
                      <w:szCs w:val="20"/>
                    </w:rPr>
                  </w:pPr>
                  <w:r w:rsidRPr="00E52DDE">
                    <w:rPr>
                      <w:rFonts w:ascii="Arial" w:hAnsi="Arial" w:cs="Arial"/>
                      <w:b/>
                      <w:bCs/>
                      <w:sz w:val="20"/>
                      <w:szCs w:val="20"/>
                    </w:rPr>
                    <w:t>[</w:t>
                  </w:r>
                  <w:r w:rsidRPr="00E52DDE">
                    <w:rPr>
                      <w:rFonts w:ascii="Arial" w:hAnsi="Arial" w:cs="Arial"/>
                      <w:b/>
                      <w:bCs/>
                      <w:sz w:val="20"/>
                      <w:szCs w:val="20"/>
                      <w:highlight w:val="yellow"/>
                    </w:rPr>
                    <w:t>bude doplněno</w:t>
                  </w:r>
                  <w:r w:rsidRPr="00E52DDE">
                    <w:rPr>
                      <w:rFonts w:ascii="Arial" w:hAnsi="Arial" w:cs="Arial"/>
                      <w:b/>
                      <w:bCs/>
                      <w:sz w:val="20"/>
                      <w:szCs w:val="20"/>
                    </w:rPr>
                    <w:t>]</w:t>
                  </w:r>
                </w:p>
                <w:p w14:paraId="7EE3F6F5" w14:textId="77777777" w:rsidR="0078156E" w:rsidRPr="00F970AA" w:rsidRDefault="0078156E" w:rsidP="00313BA6">
                  <w:pPr>
                    <w:spacing w:line="276" w:lineRule="auto"/>
                    <w:rPr>
                      <w:rFonts w:ascii="Arial" w:hAnsi="Arial" w:cs="Arial"/>
                      <w:sz w:val="20"/>
                      <w:szCs w:val="20"/>
                    </w:rPr>
                  </w:pPr>
                </w:p>
                <w:p w14:paraId="2A47ADE5" w14:textId="564E5269" w:rsidR="0078156E" w:rsidRPr="00F970AA" w:rsidRDefault="0078156E" w:rsidP="00313BA6">
                  <w:pPr>
                    <w:spacing w:line="276" w:lineRule="auto"/>
                    <w:rPr>
                      <w:rFonts w:ascii="Arial" w:hAnsi="Arial" w:cs="Arial"/>
                      <w:sz w:val="20"/>
                      <w:szCs w:val="20"/>
                    </w:rPr>
                  </w:pPr>
                  <w:r w:rsidRPr="00F970AA">
                    <w:rPr>
                      <w:rFonts w:ascii="Arial" w:hAnsi="Arial" w:cs="Arial"/>
                      <w:sz w:val="20"/>
                      <w:szCs w:val="20"/>
                    </w:rPr>
                    <w:t xml:space="preserve">Jméno: </w:t>
                  </w:r>
                </w:p>
                <w:p w14:paraId="1AE6E769" w14:textId="77777777" w:rsidR="0078156E" w:rsidRPr="00F970AA" w:rsidRDefault="0078156E" w:rsidP="00313BA6">
                  <w:pPr>
                    <w:spacing w:line="276" w:lineRule="auto"/>
                    <w:rPr>
                      <w:rFonts w:ascii="Arial" w:hAnsi="Arial" w:cs="Arial"/>
                      <w:sz w:val="20"/>
                      <w:szCs w:val="20"/>
                    </w:rPr>
                  </w:pPr>
                </w:p>
                <w:p w14:paraId="274869FB" w14:textId="15BC7BEF" w:rsidR="0078156E" w:rsidRPr="00F970AA" w:rsidRDefault="0078156E" w:rsidP="0034647A">
                  <w:pPr>
                    <w:spacing w:line="276" w:lineRule="auto"/>
                    <w:rPr>
                      <w:rFonts w:ascii="Arial" w:hAnsi="Arial" w:cs="Arial"/>
                      <w:sz w:val="20"/>
                      <w:szCs w:val="20"/>
                    </w:rPr>
                  </w:pPr>
                  <w:r w:rsidRPr="00F970AA">
                    <w:rPr>
                      <w:rFonts w:ascii="Arial" w:hAnsi="Arial" w:cs="Arial"/>
                      <w:sz w:val="20"/>
                      <w:szCs w:val="20"/>
                    </w:rPr>
                    <w:t>Funkce:</w:t>
                  </w:r>
                  <w:r w:rsidR="00304A89">
                    <w:rPr>
                      <w:rFonts w:ascii="Arial" w:hAnsi="Arial" w:cs="Arial"/>
                      <w:sz w:val="20"/>
                      <w:szCs w:val="20"/>
                    </w:rPr>
                    <w:t xml:space="preserve"> </w:t>
                  </w:r>
                </w:p>
              </w:tc>
            </w:tr>
            <w:bookmarkEnd w:id="11"/>
            <w:tr w:rsidR="0078156E" w:rsidRPr="00F970AA" w14:paraId="48E426AF" w14:textId="77777777" w:rsidTr="00313BA6">
              <w:tc>
                <w:tcPr>
                  <w:tcW w:w="4523" w:type="dxa"/>
                </w:tcPr>
                <w:p w14:paraId="1E8EE24D" w14:textId="77777777" w:rsidR="0078156E" w:rsidRPr="00F970AA" w:rsidRDefault="0078156E" w:rsidP="00313BA6">
                  <w:pPr>
                    <w:spacing w:line="276" w:lineRule="auto"/>
                    <w:rPr>
                      <w:rFonts w:ascii="Arial" w:hAnsi="Arial" w:cs="Arial"/>
                      <w:sz w:val="20"/>
                      <w:szCs w:val="20"/>
                    </w:rPr>
                  </w:pPr>
                </w:p>
              </w:tc>
              <w:tc>
                <w:tcPr>
                  <w:tcW w:w="4516" w:type="dxa"/>
                </w:tcPr>
                <w:p w14:paraId="559D7BED" w14:textId="77777777" w:rsidR="0078156E" w:rsidRPr="00F970AA" w:rsidRDefault="0078156E" w:rsidP="0078156E">
                  <w:pPr>
                    <w:spacing w:line="276" w:lineRule="auto"/>
                    <w:rPr>
                      <w:rFonts w:ascii="Arial" w:hAnsi="Arial" w:cs="Arial"/>
                      <w:sz w:val="20"/>
                      <w:szCs w:val="20"/>
                    </w:rPr>
                  </w:pPr>
                </w:p>
                <w:p w14:paraId="15A82358" w14:textId="77777777" w:rsidR="0078156E" w:rsidRPr="00F970AA" w:rsidRDefault="0078156E" w:rsidP="0078156E">
                  <w:pPr>
                    <w:spacing w:line="276" w:lineRule="auto"/>
                    <w:rPr>
                      <w:rFonts w:ascii="Arial" w:hAnsi="Arial" w:cs="Arial"/>
                      <w:sz w:val="20"/>
                      <w:szCs w:val="20"/>
                    </w:rPr>
                  </w:pPr>
                </w:p>
                <w:p w14:paraId="6E609E30" w14:textId="77777777" w:rsidR="0078156E" w:rsidRPr="00F970AA" w:rsidRDefault="0078156E" w:rsidP="0078156E">
                  <w:pPr>
                    <w:spacing w:line="276" w:lineRule="auto"/>
                    <w:rPr>
                      <w:rFonts w:ascii="Arial" w:hAnsi="Arial" w:cs="Arial"/>
                      <w:sz w:val="20"/>
                      <w:szCs w:val="20"/>
                    </w:rPr>
                  </w:pPr>
                </w:p>
                <w:p w14:paraId="0BA192A0" w14:textId="77777777" w:rsidR="0078156E" w:rsidRPr="00F970AA" w:rsidRDefault="0078156E" w:rsidP="0078156E">
                  <w:pPr>
                    <w:spacing w:line="276" w:lineRule="auto"/>
                    <w:rPr>
                      <w:rFonts w:ascii="Arial" w:hAnsi="Arial" w:cs="Arial"/>
                      <w:sz w:val="20"/>
                      <w:szCs w:val="20"/>
                    </w:rPr>
                  </w:pPr>
                </w:p>
                <w:p w14:paraId="5082A8EA" w14:textId="77777777" w:rsidR="0078156E" w:rsidRPr="00F970AA" w:rsidRDefault="0078156E" w:rsidP="0078156E">
                  <w:pPr>
                    <w:spacing w:line="276" w:lineRule="auto"/>
                    <w:rPr>
                      <w:rFonts w:ascii="Arial" w:hAnsi="Arial" w:cs="Arial"/>
                      <w:sz w:val="20"/>
                      <w:szCs w:val="20"/>
                    </w:rPr>
                  </w:pPr>
                </w:p>
                <w:p w14:paraId="23BDF170" w14:textId="798B25A4" w:rsidR="0078156E" w:rsidRPr="00F970AA" w:rsidRDefault="0078156E" w:rsidP="0063636A">
                  <w:pPr>
                    <w:spacing w:line="276" w:lineRule="auto"/>
                    <w:rPr>
                      <w:rFonts w:ascii="Arial" w:hAnsi="Arial" w:cs="Arial"/>
                      <w:sz w:val="20"/>
                      <w:szCs w:val="20"/>
                    </w:rPr>
                  </w:pPr>
                  <w:r w:rsidRPr="00F970AA">
                    <w:rPr>
                      <w:rFonts w:ascii="Arial" w:hAnsi="Arial" w:cs="Arial"/>
                      <w:sz w:val="20"/>
                      <w:szCs w:val="20"/>
                    </w:rPr>
                    <w:t>V ____________ dne _____________20</w:t>
                  </w:r>
                  <w:r w:rsidR="0063636A">
                    <w:rPr>
                      <w:rFonts w:ascii="Arial" w:hAnsi="Arial" w:cs="Arial"/>
                      <w:sz w:val="20"/>
                      <w:szCs w:val="20"/>
                    </w:rPr>
                    <w:t>20</w:t>
                  </w:r>
                </w:p>
              </w:tc>
            </w:tr>
            <w:tr w:rsidR="0078156E" w:rsidRPr="00F970AA" w14:paraId="3D983169" w14:textId="77777777" w:rsidTr="00313BA6">
              <w:tc>
                <w:tcPr>
                  <w:tcW w:w="4523" w:type="dxa"/>
                </w:tcPr>
                <w:p w14:paraId="73ACEEF9" w14:textId="77777777" w:rsidR="0078156E" w:rsidRPr="00F970AA" w:rsidRDefault="0078156E" w:rsidP="00313BA6">
                  <w:pPr>
                    <w:spacing w:line="276" w:lineRule="auto"/>
                    <w:rPr>
                      <w:rFonts w:ascii="Arial" w:hAnsi="Arial" w:cs="Arial"/>
                      <w:sz w:val="20"/>
                      <w:szCs w:val="20"/>
                    </w:rPr>
                  </w:pPr>
                </w:p>
              </w:tc>
              <w:tc>
                <w:tcPr>
                  <w:tcW w:w="4516" w:type="dxa"/>
                </w:tcPr>
                <w:p w14:paraId="4C58B9C5" w14:textId="77777777" w:rsidR="0078156E" w:rsidRPr="00F970AA" w:rsidRDefault="0078156E" w:rsidP="00313BA6">
                  <w:pPr>
                    <w:spacing w:line="276" w:lineRule="auto"/>
                    <w:rPr>
                      <w:rFonts w:ascii="Arial" w:hAnsi="Arial" w:cs="Arial"/>
                      <w:sz w:val="20"/>
                      <w:szCs w:val="20"/>
                    </w:rPr>
                  </w:pPr>
                </w:p>
                <w:p w14:paraId="02DBA964" w14:textId="77777777" w:rsidR="0078156E" w:rsidRPr="00F970AA" w:rsidRDefault="0078156E" w:rsidP="00313BA6">
                  <w:pPr>
                    <w:spacing w:line="276" w:lineRule="auto"/>
                    <w:rPr>
                      <w:rFonts w:ascii="Arial" w:hAnsi="Arial" w:cs="Arial"/>
                      <w:sz w:val="20"/>
                      <w:szCs w:val="20"/>
                    </w:rPr>
                  </w:pPr>
                </w:p>
                <w:p w14:paraId="3FFE073E" w14:textId="77777777" w:rsidR="0078156E" w:rsidRPr="00F970AA" w:rsidRDefault="0078156E" w:rsidP="00313BA6">
                  <w:pPr>
                    <w:spacing w:line="276" w:lineRule="auto"/>
                    <w:rPr>
                      <w:rFonts w:ascii="Arial" w:hAnsi="Arial" w:cs="Arial"/>
                      <w:sz w:val="20"/>
                      <w:szCs w:val="20"/>
                    </w:rPr>
                  </w:pPr>
                </w:p>
                <w:p w14:paraId="0F68ABEC" w14:textId="77777777" w:rsidR="0078156E" w:rsidRPr="00F970AA" w:rsidRDefault="0078156E" w:rsidP="00313BA6">
                  <w:pPr>
                    <w:spacing w:line="276" w:lineRule="auto"/>
                    <w:rPr>
                      <w:rFonts w:ascii="Arial" w:hAnsi="Arial" w:cs="Arial"/>
                      <w:sz w:val="20"/>
                      <w:szCs w:val="20"/>
                    </w:rPr>
                  </w:pPr>
                  <w:r w:rsidRPr="00F970AA">
                    <w:rPr>
                      <w:rFonts w:ascii="Arial" w:hAnsi="Arial" w:cs="Arial"/>
                      <w:sz w:val="20"/>
                      <w:szCs w:val="20"/>
                    </w:rPr>
                    <w:t>___________________________________</w:t>
                  </w:r>
                </w:p>
              </w:tc>
            </w:tr>
            <w:tr w:rsidR="0078156E" w:rsidRPr="00F970AA" w14:paraId="50479A9B" w14:textId="77777777" w:rsidTr="00313BA6">
              <w:tc>
                <w:tcPr>
                  <w:tcW w:w="4523" w:type="dxa"/>
                </w:tcPr>
                <w:p w14:paraId="12AC5739" w14:textId="77777777" w:rsidR="0078156E" w:rsidRPr="00F970AA" w:rsidRDefault="0078156E" w:rsidP="00313BA6">
                  <w:pPr>
                    <w:spacing w:line="276" w:lineRule="auto"/>
                    <w:rPr>
                      <w:rFonts w:ascii="Arial" w:hAnsi="Arial" w:cs="Arial"/>
                      <w:sz w:val="20"/>
                      <w:szCs w:val="20"/>
                    </w:rPr>
                  </w:pPr>
                </w:p>
              </w:tc>
              <w:tc>
                <w:tcPr>
                  <w:tcW w:w="4516" w:type="dxa"/>
                </w:tcPr>
                <w:p w14:paraId="0D00BD9A" w14:textId="77777777" w:rsidR="0078156E" w:rsidRPr="00F970AA" w:rsidRDefault="00E52DDE" w:rsidP="00677A38">
                  <w:pPr>
                    <w:spacing w:line="276" w:lineRule="auto"/>
                    <w:rPr>
                      <w:rFonts w:ascii="Arial" w:hAnsi="Arial" w:cs="Arial"/>
                      <w:b/>
                      <w:sz w:val="20"/>
                      <w:szCs w:val="20"/>
                    </w:rPr>
                  </w:pPr>
                  <w:r w:rsidRPr="00E52DDE">
                    <w:rPr>
                      <w:rFonts w:ascii="Arial" w:hAnsi="Arial" w:cs="Arial"/>
                      <w:b/>
                      <w:bCs/>
                      <w:sz w:val="20"/>
                      <w:szCs w:val="20"/>
                    </w:rPr>
                    <w:t>[</w:t>
                  </w:r>
                  <w:r w:rsidRPr="00E52DDE">
                    <w:rPr>
                      <w:rFonts w:ascii="Arial" w:hAnsi="Arial" w:cs="Arial"/>
                      <w:b/>
                      <w:bCs/>
                      <w:sz w:val="20"/>
                      <w:szCs w:val="20"/>
                      <w:highlight w:val="yellow"/>
                    </w:rPr>
                    <w:t>bude doplněno</w:t>
                  </w:r>
                  <w:r w:rsidRPr="00E52DDE">
                    <w:rPr>
                      <w:rFonts w:ascii="Arial" w:hAnsi="Arial" w:cs="Arial"/>
                      <w:b/>
                      <w:bCs/>
                      <w:sz w:val="20"/>
                      <w:szCs w:val="20"/>
                    </w:rPr>
                    <w:t>]</w:t>
                  </w:r>
                </w:p>
                <w:p w14:paraId="0DABB9DE" w14:textId="77777777" w:rsidR="0078156E" w:rsidRPr="00F970AA" w:rsidRDefault="0078156E" w:rsidP="00313BA6">
                  <w:pPr>
                    <w:spacing w:line="276" w:lineRule="auto"/>
                    <w:rPr>
                      <w:rFonts w:ascii="Arial" w:hAnsi="Arial" w:cs="Arial"/>
                      <w:sz w:val="20"/>
                      <w:szCs w:val="20"/>
                    </w:rPr>
                  </w:pPr>
                </w:p>
                <w:p w14:paraId="40C6DAB0" w14:textId="7AEB47FA" w:rsidR="0078156E" w:rsidRPr="00F970AA" w:rsidRDefault="0078156E" w:rsidP="00313BA6">
                  <w:pPr>
                    <w:spacing w:line="276" w:lineRule="auto"/>
                    <w:rPr>
                      <w:rFonts w:ascii="Arial" w:hAnsi="Arial" w:cs="Arial"/>
                      <w:sz w:val="20"/>
                      <w:szCs w:val="20"/>
                    </w:rPr>
                  </w:pPr>
                  <w:r w:rsidRPr="00F970AA">
                    <w:rPr>
                      <w:rFonts w:ascii="Arial" w:hAnsi="Arial" w:cs="Arial"/>
                      <w:sz w:val="20"/>
                      <w:szCs w:val="20"/>
                    </w:rPr>
                    <w:t xml:space="preserve">Jméno: </w:t>
                  </w:r>
                  <w:r w:rsidR="00304A89">
                    <w:rPr>
                      <w:rFonts w:ascii="Arial" w:hAnsi="Arial" w:cs="Arial"/>
                      <w:sz w:val="20"/>
                      <w:szCs w:val="20"/>
                    </w:rPr>
                    <w:t xml:space="preserve"> </w:t>
                  </w:r>
                </w:p>
                <w:p w14:paraId="27C06D80" w14:textId="77777777" w:rsidR="0078156E" w:rsidRPr="00F970AA" w:rsidRDefault="0078156E" w:rsidP="00313BA6">
                  <w:pPr>
                    <w:spacing w:line="276" w:lineRule="auto"/>
                    <w:rPr>
                      <w:rFonts w:ascii="Arial" w:hAnsi="Arial" w:cs="Arial"/>
                      <w:sz w:val="20"/>
                      <w:szCs w:val="20"/>
                    </w:rPr>
                  </w:pPr>
                </w:p>
                <w:p w14:paraId="1C359FFE" w14:textId="2F353EF4" w:rsidR="0078156E" w:rsidRPr="00F970AA" w:rsidRDefault="0078156E" w:rsidP="0034647A">
                  <w:pPr>
                    <w:spacing w:line="276" w:lineRule="auto"/>
                    <w:rPr>
                      <w:rFonts w:ascii="Arial" w:hAnsi="Arial" w:cs="Arial"/>
                      <w:sz w:val="20"/>
                      <w:szCs w:val="20"/>
                    </w:rPr>
                  </w:pPr>
                  <w:r w:rsidRPr="00F970AA">
                    <w:rPr>
                      <w:rFonts w:ascii="Arial" w:hAnsi="Arial" w:cs="Arial"/>
                      <w:sz w:val="20"/>
                      <w:szCs w:val="20"/>
                    </w:rPr>
                    <w:t>Funkce:</w:t>
                  </w:r>
                  <w:r w:rsidR="00304A89">
                    <w:rPr>
                      <w:rFonts w:ascii="Arial" w:hAnsi="Arial" w:cs="Arial"/>
                      <w:sz w:val="20"/>
                      <w:szCs w:val="20"/>
                    </w:rPr>
                    <w:t xml:space="preserve"> </w:t>
                  </w:r>
                </w:p>
              </w:tc>
            </w:tr>
          </w:tbl>
          <w:p w14:paraId="06411E05" w14:textId="6E8F7CEA" w:rsidR="00F55CC8" w:rsidRPr="00BC3B0C" w:rsidRDefault="00F55CC8" w:rsidP="00F33F0F">
            <w:pPr>
              <w:spacing w:after="120"/>
              <w:jc w:val="both"/>
              <w:rPr>
                <w:rFonts w:ascii="Arial" w:hAnsi="Arial" w:cs="Arial"/>
                <w:sz w:val="20"/>
                <w:szCs w:val="20"/>
              </w:rPr>
            </w:pPr>
          </w:p>
        </w:tc>
        <w:tc>
          <w:tcPr>
            <w:tcW w:w="4819" w:type="dxa"/>
            <w:shd w:val="clear" w:color="auto" w:fill="auto"/>
          </w:tcPr>
          <w:p w14:paraId="0B2968E1" w14:textId="7F68B25C" w:rsidR="00F55CC8" w:rsidRPr="00BC3B0C" w:rsidRDefault="00F55CC8" w:rsidP="00F33F0F">
            <w:pPr>
              <w:spacing w:after="120"/>
              <w:jc w:val="both"/>
              <w:rPr>
                <w:rFonts w:ascii="Arial" w:hAnsi="Arial" w:cs="Arial"/>
                <w:sz w:val="20"/>
                <w:szCs w:val="20"/>
              </w:rPr>
            </w:pPr>
          </w:p>
        </w:tc>
        <w:bookmarkStart w:id="12" w:name="_GoBack"/>
        <w:bookmarkEnd w:id="12"/>
      </w:tr>
      <w:tr w:rsidR="0078156E" w:rsidRPr="00BC3B0C" w14:paraId="7EADC1D6" w14:textId="77777777" w:rsidTr="00435BA6">
        <w:tc>
          <w:tcPr>
            <w:tcW w:w="4819" w:type="dxa"/>
            <w:shd w:val="clear" w:color="auto" w:fill="auto"/>
          </w:tcPr>
          <w:p w14:paraId="4D43888A" w14:textId="5B519FE3" w:rsidR="0078156E" w:rsidRPr="00BC3B0C" w:rsidRDefault="0078156E" w:rsidP="008356CE">
            <w:pPr>
              <w:spacing w:after="120"/>
              <w:jc w:val="both"/>
              <w:rPr>
                <w:rFonts w:ascii="Arial" w:hAnsi="Arial" w:cs="Arial"/>
                <w:sz w:val="20"/>
                <w:szCs w:val="20"/>
              </w:rPr>
            </w:pPr>
          </w:p>
        </w:tc>
        <w:tc>
          <w:tcPr>
            <w:tcW w:w="4819" w:type="dxa"/>
            <w:shd w:val="clear" w:color="auto" w:fill="auto"/>
          </w:tcPr>
          <w:p w14:paraId="70C6335F" w14:textId="11B802D7" w:rsidR="0078156E" w:rsidRPr="00BC3B0C" w:rsidRDefault="0078156E" w:rsidP="008356CE">
            <w:pPr>
              <w:spacing w:after="120"/>
              <w:jc w:val="both"/>
              <w:rPr>
                <w:rFonts w:ascii="Arial" w:hAnsi="Arial" w:cs="Arial"/>
                <w:sz w:val="20"/>
                <w:szCs w:val="20"/>
              </w:rPr>
            </w:pPr>
          </w:p>
        </w:tc>
      </w:tr>
      <w:tr w:rsidR="0078156E" w:rsidRPr="00BC3B0C" w14:paraId="19925EAF" w14:textId="77777777" w:rsidTr="00435BA6">
        <w:tc>
          <w:tcPr>
            <w:tcW w:w="4819" w:type="dxa"/>
            <w:shd w:val="clear" w:color="auto" w:fill="auto"/>
          </w:tcPr>
          <w:p w14:paraId="4F631105" w14:textId="5E633C17" w:rsidR="0078156E" w:rsidRPr="00BC3B0C" w:rsidRDefault="0078156E" w:rsidP="00F33F0F">
            <w:pPr>
              <w:spacing w:after="120"/>
              <w:jc w:val="both"/>
              <w:rPr>
                <w:rFonts w:ascii="Arial" w:hAnsi="Arial" w:cs="Arial"/>
                <w:b/>
                <w:sz w:val="20"/>
                <w:szCs w:val="20"/>
              </w:rPr>
            </w:pPr>
          </w:p>
        </w:tc>
        <w:tc>
          <w:tcPr>
            <w:tcW w:w="4819" w:type="dxa"/>
            <w:shd w:val="clear" w:color="auto" w:fill="auto"/>
          </w:tcPr>
          <w:p w14:paraId="2690BC3E" w14:textId="656FA0A1" w:rsidR="0078156E" w:rsidRPr="002462F5" w:rsidRDefault="0078156E" w:rsidP="00F01770">
            <w:pPr>
              <w:spacing w:after="120"/>
              <w:jc w:val="both"/>
              <w:rPr>
                <w:rFonts w:ascii="Arial" w:hAnsi="Arial" w:cs="Arial"/>
                <w:b/>
                <w:sz w:val="20"/>
                <w:szCs w:val="20"/>
              </w:rPr>
            </w:pPr>
          </w:p>
        </w:tc>
      </w:tr>
      <w:tr w:rsidR="0078156E" w:rsidRPr="00BC3B0C" w14:paraId="04ACAE30" w14:textId="77777777" w:rsidTr="00435BA6">
        <w:tc>
          <w:tcPr>
            <w:tcW w:w="4819" w:type="dxa"/>
            <w:shd w:val="clear" w:color="auto" w:fill="auto"/>
          </w:tcPr>
          <w:p w14:paraId="2C1F2591" w14:textId="20051A72" w:rsidR="0078156E" w:rsidRPr="00BC3B0C" w:rsidRDefault="0078156E" w:rsidP="0078156E">
            <w:pPr>
              <w:spacing w:after="120"/>
              <w:jc w:val="both"/>
              <w:rPr>
                <w:rFonts w:ascii="Arial" w:hAnsi="Arial" w:cs="Arial"/>
                <w:sz w:val="20"/>
                <w:szCs w:val="20"/>
              </w:rPr>
            </w:pPr>
          </w:p>
        </w:tc>
        <w:tc>
          <w:tcPr>
            <w:tcW w:w="4819" w:type="dxa"/>
            <w:shd w:val="clear" w:color="auto" w:fill="auto"/>
          </w:tcPr>
          <w:p w14:paraId="2B9B6CE1" w14:textId="0672202D" w:rsidR="0078156E" w:rsidRPr="00BC3B0C" w:rsidRDefault="0078156E" w:rsidP="00F33F0F">
            <w:pPr>
              <w:spacing w:after="120"/>
              <w:jc w:val="both"/>
              <w:rPr>
                <w:rFonts w:ascii="Arial" w:hAnsi="Arial" w:cs="Arial"/>
                <w:sz w:val="20"/>
                <w:szCs w:val="20"/>
              </w:rPr>
            </w:pPr>
          </w:p>
        </w:tc>
      </w:tr>
      <w:tr w:rsidR="0078156E" w:rsidRPr="00BC3B0C" w14:paraId="693D9AAE" w14:textId="77777777" w:rsidTr="00435BA6">
        <w:tc>
          <w:tcPr>
            <w:tcW w:w="4819" w:type="dxa"/>
            <w:shd w:val="clear" w:color="auto" w:fill="auto"/>
          </w:tcPr>
          <w:p w14:paraId="6FA30E9F" w14:textId="7ED443F4" w:rsidR="0078156E" w:rsidRPr="00BC3B0C" w:rsidRDefault="0078156E" w:rsidP="00F33F0F">
            <w:pPr>
              <w:spacing w:after="120"/>
              <w:jc w:val="both"/>
              <w:rPr>
                <w:rFonts w:ascii="Arial" w:hAnsi="Arial" w:cs="Arial"/>
                <w:sz w:val="20"/>
                <w:szCs w:val="20"/>
              </w:rPr>
            </w:pPr>
          </w:p>
        </w:tc>
        <w:tc>
          <w:tcPr>
            <w:tcW w:w="4819" w:type="dxa"/>
            <w:shd w:val="clear" w:color="auto" w:fill="auto"/>
          </w:tcPr>
          <w:p w14:paraId="5D74E9E3" w14:textId="63491019" w:rsidR="0078156E" w:rsidRPr="00BC3B0C" w:rsidRDefault="0078156E" w:rsidP="00F33F0F">
            <w:pPr>
              <w:spacing w:after="120"/>
              <w:jc w:val="both"/>
              <w:rPr>
                <w:rFonts w:ascii="Arial" w:hAnsi="Arial" w:cs="Arial"/>
                <w:sz w:val="20"/>
                <w:szCs w:val="20"/>
              </w:rPr>
            </w:pPr>
          </w:p>
        </w:tc>
      </w:tr>
      <w:tr w:rsidR="0078156E" w:rsidRPr="00BC3B0C" w14:paraId="59417B76" w14:textId="77777777" w:rsidTr="00435BA6">
        <w:tc>
          <w:tcPr>
            <w:tcW w:w="4819" w:type="dxa"/>
            <w:shd w:val="clear" w:color="auto" w:fill="auto"/>
          </w:tcPr>
          <w:p w14:paraId="7B63F0A8" w14:textId="303FDEDA" w:rsidR="0078156E" w:rsidRPr="00BC3B0C" w:rsidRDefault="0078156E" w:rsidP="00F33F0F">
            <w:pPr>
              <w:spacing w:after="120"/>
              <w:jc w:val="both"/>
              <w:rPr>
                <w:rFonts w:ascii="Arial" w:hAnsi="Arial" w:cs="Arial"/>
                <w:sz w:val="20"/>
                <w:szCs w:val="20"/>
              </w:rPr>
            </w:pPr>
          </w:p>
        </w:tc>
        <w:tc>
          <w:tcPr>
            <w:tcW w:w="4819" w:type="dxa"/>
            <w:shd w:val="clear" w:color="auto" w:fill="auto"/>
          </w:tcPr>
          <w:p w14:paraId="44144901" w14:textId="04FB804D" w:rsidR="0078156E" w:rsidRPr="00BC3B0C" w:rsidRDefault="0078156E" w:rsidP="00F33F0F">
            <w:pPr>
              <w:spacing w:after="120"/>
              <w:jc w:val="both"/>
              <w:rPr>
                <w:rFonts w:ascii="Arial" w:hAnsi="Arial" w:cs="Arial"/>
                <w:sz w:val="20"/>
                <w:szCs w:val="20"/>
              </w:rPr>
            </w:pPr>
          </w:p>
        </w:tc>
      </w:tr>
      <w:tr w:rsidR="0078156E" w:rsidRPr="00BC3B0C" w14:paraId="0743E006" w14:textId="77777777" w:rsidTr="00435BA6">
        <w:tc>
          <w:tcPr>
            <w:tcW w:w="4819" w:type="dxa"/>
            <w:shd w:val="clear" w:color="auto" w:fill="auto"/>
          </w:tcPr>
          <w:p w14:paraId="016A4813" w14:textId="77777777" w:rsidR="0078156E" w:rsidRPr="00BC3B0C" w:rsidRDefault="0078156E" w:rsidP="00F33F0F">
            <w:pPr>
              <w:spacing w:after="120"/>
              <w:jc w:val="both"/>
              <w:rPr>
                <w:rFonts w:ascii="Arial" w:hAnsi="Arial" w:cs="Arial"/>
                <w:sz w:val="20"/>
                <w:szCs w:val="20"/>
              </w:rPr>
            </w:pPr>
          </w:p>
        </w:tc>
        <w:tc>
          <w:tcPr>
            <w:tcW w:w="4819" w:type="dxa"/>
            <w:shd w:val="clear" w:color="auto" w:fill="auto"/>
          </w:tcPr>
          <w:p w14:paraId="655BA132" w14:textId="3F75CF0F" w:rsidR="0078156E" w:rsidRPr="0035217D" w:rsidRDefault="0078156E" w:rsidP="00313BA6">
            <w:pPr>
              <w:spacing w:line="276" w:lineRule="auto"/>
            </w:pPr>
          </w:p>
        </w:tc>
      </w:tr>
    </w:tbl>
    <w:p w14:paraId="2FA7C0EB" w14:textId="77777777" w:rsidR="00F03D24" w:rsidRPr="00BC3B0C" w:rsidRDefault="009B7C84" w:rsidP="00927C8A">
      <w:pPr>
        <w:spacing w:after="120"/>
        <w:jc w:val="both"/>
        <w:rPr>
          <w:rFonts w:ascii="Arial" w:hAnsi="Arial" w:cs="Arial"/>
          <w:b/>
          <w:sz w:val="20"/>
          <w:szCs w:val="20"/>
        </w:rPr>
      </w:pPr>
      <w:r w:rsidRPr="00BC3B0C">
        <w:rPr>
          <w:rFonts w:ascii="Arial" w:hAnsi="Arial" w:cs="Arial"/>
          <w:sz w:val="20"/>
          <w:szCs w:val="20"/>
        </w:rPr>
        <w:br w:type="page"/>
      </w:r>
      <w:r w:rsidR="00D8792F" w:rsidRPr="00BC3B0C">
        <w:rPr>
          <w:rFonts w:ascii="Arial" w:hAnsi="Arial" w:cs="Arial"/>
          <w:b/>
          <w:sz w:val="20"/>
          <w:szCs w:val="20"/>
        </w:rPr>
        <w:lastRenderedPageBreak/>
        <w:t>P</w:t>
      </w:r>
      <w:r w:rsidR="009E1F21" w:rsidRPr="00BC3B0C">
        <w:rPr>
          <w:rFonts w:ascii="Arial" w:hAnsi="Arial" w:cs="Arial"/>
          <w:b/>
          <w:sz w:val="20"/>
          <w:szCs w:val="20"/>
        </w:rPr>
        <w:t>říloha</w:t>
      </w:r>
      <w:r w:rsidR="00F03D24" w:rsidRPr="00BC3B0C">
        <w:rPr>
          <w:rFonts w:ascii="Arial" w:hAnsi="Arial" w:cs="Arial"/>
          <w:b/>
          <w:sz w:val="20"/>
          <w:szCs w:val="20"/>
        </w:rPr>
        <w:t xml:space="preserve"> </w:t>
      </w:r>
      <w:r w:rsidRPr="00BC3B0C">
        <w:rPr>
          <w:rFonts w:ascii="Arial" w:hAnsi="Arial" w:cs="Arial"/>
          <w:b/>
          <w:sz w:val="20"/>
          <w:szCs w:val="20"/>
        </w:rPr>
        <w:t xml:space="preserve">č. </w:t>
      </w:r>
      <w:r w:rsidR="00F03D24" w:rsidRPr="00BC3B0C">
        <w:rPr>
          <w:rFonts w:ascii="Arial" w:hAnsi="Arial" w:cs="Arial"/>
          <w:b/>
          <w:sz w:val="20"/>
          <w:szCs w:val="20"/>
        </w:rPr>
        <w:t>1</w:t>
      </w:r>
      <w:r w:rsidRPr="00BC3B0C">
        <w:rPr>
          <w:rFonts w:ascii="Arial" w:hAnsi="Arial" w:cs="Arial"/>
          <w:b/>
          <w:sz w:val="20"/>
          <w:szCs w:val="20"/>
        </w:rPr>
        <w:t xml:space="preserve"> – </w:t>
      </w:r>
      <w:r w:rsidR="004A7A33" w:rsidRPr="00BC3B0C">
        <w:rPr>
          <w:rFonts w:ascii="Arial" w:hAnsi="Arial" w:cs="Arial"/>
          <w:b/>
          <w:sz w:val="20"/>
          <w:szCs w:val="20"/>
        </w:rPr>
        <w:t>H</w:t>
      </w:r>
      <w:r w:rsidRPr="00BC3B0C">
        <w:rPr>
          <w:rFonts w:ascii="Arial" w:hAnsi="Arial" w:cs="Arial"/>
          <w:b/>
          <w:sz w:val="20"/>
          <w:szCs w:val="20"/>
        </w:rPr>
        <w:t>ybridní model</w:t>
      </w:r>
    </w:p>
    <w:p w14:paraId="7E69E4D4" w14:textId="7172C0EC" w:rsidR="009B7C84" w:rsidRDefault="00885094" w:rsidP="00927C8A">
      <w:pPr>
        <w:pStyle w:val="Odstavecseseznamem"/>
        <w:numPr>
          <w:ilvl w:val="1"/>
          <w:numId w:val="39"/>
        </w:numPr>
        <w:spacing w:before="0"/>
        <w:ind w:left="567" w:hanging="567"/>
        <w:contextualSpacing w:val="0"/>
        <w:rPr>
          <w:rFonts w:ascii="Arial" w:hAnsi="Arial" w:cs="Arial"/>
          <w:sz w:val="20"/>
        </w:rPr>
      </w:pPr>
      <w:r w:rsidRPr="00885094">
        <w:rPr>
          <w:rFonts w:ascii="Arial" w:hAnsi="Arial" w:cs="Arial"/>
          <w:sz w:val="20"/>
        </w:rPr>
        <w:t>Strany</w:t>
      </w:r>
      <w:r w:rsidR="00623FC7" w:rsidRPr="00623FC7">
        <w:rPr>
          <w:rFonts w:ascii="Arial" w:hAnsi="Arial" w:cs="Arial"/>
          <w:sz w:val="20"/>
        </w:rPr>
        <w:t xml:space="preserve"> se dohodly na věcně technickém popisu </w:t>
      </w:r>
      <w:r w:rsidR="004B3CDA">
        <w:rPr>
          <w:rFonts w:ascii="Arial" w:hAnsi="Arial" w:cs="Arial"/>
          <w:sz w:val="20"/>
        </w:rPr>
        <w:t xml:space="preserve">principů fungování </w:t>
      </w:r>
      <w:r w:rsidR="00623FC7" w:rsidRPr="00623FC7">
        <w:rPr>
          <w:rFonts w:ascii="Arial" w:hAnsi="Arial" w:cs="Arial"/>
          <w:sz w:val="20"/>
        </w:rPr>
        <w:t>hybridního modelu</w:t>
      </w:r>
      <w:r w:rsidRPr="00885094">
        <w:rPr>
          <w:rFonts w:ascii="Arial" w:hAnsi="Arial" w:cs="Arial"/>
          <w:sz w:val="20"/>
        </w:rPr>
        <w:t>, který je uveden dále v</w:t>
      </w:r>
      <w:r>
        <w:rPr>
          <w:rFonts w:ascii="Arial" w:hAnsi="Arial" w:cs="Arial"/>
          <w:sz w:val="20"/>
        </w:rPr>
        <w:t> této příloze č. 1 ke smlouvě o dodávkách (dále jen „</w:t>
      </w:r>
      <w:r w:rsidRPr="00885094">
        <w:rPr>
          <w:rFonts w:ascii="Arial" w:hAnsi="Arial" w:cs="Arial"/>
          <w:b/>
          <w:sz w:val="20"/>
        </w:rPr>
        <w:t>příloha</w:t>
      </w:r>
      <w:r>
        <w:rPr>
          <w:rFonts w:ascii="Arial" w:hAnsi="Arial" w:cs="Arial"/>
          <w:sz w:val="20"/>
        </w:rPr>
        <w:t>“)</w:t>
      </w:r>
      <w:r w:rsidRPr="00885094">
        <w:rPr>
          <w:rFonts w:ascii="Arial" w:hAnsi="Arial" w:cs="Arial"/>
          <w:sz w:val="20"/>
        </w:rPr>
        <w:t>:</w:t>
      </w:r>
    </w:p>
    <w:p w14:paraId="2A2E69BF" w14:textId="7AB729F4" w:rsidR="004B3CDA" w:rsidRPr="004B3CDA" w:rsidRDefault="004B3CDA" w:rsidP="00927C8A">
      <w:pPr>
        <w:pStyle w:val="Odstavecseseznamem"/>
        <w:numPr>
          <w:ilvl w:val="1"/>
          <w:numId w:val="39"/>
        </w:numPr>
        <w:spacing w:before="0"/>
        <w:ind w:left="567" w:hanging="567"/>
        <w:contextualSpacing w:val="0"/>
        <w:rPr>
          <w:rFonts w:ascii="Arial" w:hAnsi="Arial" w:cs="Arial"/>
          <w:sz w:val="20"/>
        </w:rPr>
      </w:pPr>
      <w:bookmarkStart w:id="13" w:name="_Hlk515284221"/>
      <w:r w:rsidRPr="004B3CDA">
        <w:rPr>
          <w:rFonts w:ascii="Arial" w:hAnsi="Arial" w:cs="Arial"/>
          <w:sz w:val="20"/>
        </w:rPr>
        <w:t xml:space="preserve">Jedná se o systém rozúčtování trakční elektrické energie </w:t>
      </w:r>
      <w:r w:rsidR="00885094">
        <w:rPr>
          <w:rFonts w:ascii="Arial" w:hAnsi="Arial" w:cs="Arial"/>
          <w:sz w:val="20"/>
        </w:rPr>
        <w:t>d</w:t>
      </w:r>
      <w:r w:rsidR="00885094" w:rsidRPr="00885094">
        <w:rPr>
          <w:rFonts w:ascii="Arial" w:hAnsi="Arial" w:cs="Arial"/>
          <w:sz w:val="20"/>
        </w:rPr>
        <w:t>opravci</w:t>
      </w:r>
      <w:r w:rsidRPr="004B3CDA">
        <w:rPr>
          <w:rFonts w:ascii="Arial" w:hAnsi="Arial" w:cs="Arial"/>
          <w:sz w:val="20"/>
        </w:rPr>
        <w:t xml:space="preserve"> v závislé trakci, který kombinuje stanovení spotřeby trakční elektrické energie spotřebované </w:t>
      </w:r>
      <w:r w:rsidR="00885094">
        <w:rPr>
          <w:rFonts w:ascii="Arial" w:hAnsi="Arial" w:cs="Arial"/>
          <w:sz w:val="20"/>
        </w:rPr>
        <w:t>d</w:t>
      </w:r>
      <w:r w:rsidR="00885094" w:rsidRPr="00885094">
        <w:rPr>
          <w:rFonts w:ascii="Arial" w:hAnsi="Arial" w:cs="Arial"/>
          <w:sz w:val="20"/>
        </w:rPr>
        <w:t>opravcem</w:t>
      </w:r>
      <w:r w:rsidRPr="004B3CDA">
        <w:rPr>
          <w:rFonts w:ascii="Arial" w:hAnsi="Arial" w:cs="Arial"/>
          <w:sz w:val="20"/>
        </w:rPr>
        <w:t xml:space="preserve"> jeho hnacími vozidly</w:t>
      </w:r>
      <w:r w:rsidR="00885094" w:rsidRPr="00885094">
        <w:rPr>
          <w:rFonts w:ascii="Arial" w:hAnsi="Arial" w:cs="Arial"/>
          <w:sz w:val="20"/>
        </w:rPr>
        <w:t>, vybavenými</w:t>
      </w:r>
      <w:r w:rsidRPr="004B3CDA">
        <w:rPr>
          <w:rFonts w:ascii="Arial" w:hAnsi="Arial" w:cs="Arial"/>
          <w:sz w:val="20"/>
        </w:rPr>
        <w:t xml:space="preserve"> systémem pro měření </w:t>
      </w:r>
      <w:r w:rsidR="002C1C65">
        <w:rPr>
          <w:rFonts w:ascii="Arial" w:hAnsi="Arial" w:cs="Arial"/>
          <w:sz w:val="20"/>
        </w:rPr>
        <w:t>spotřeby</w:t>
      </w:r>
      <w:r w:rsidRPr="004B3CDA">
        <w:rPr>
          <w:rFonts w:ascii="Arial" w:hAnsi="Arial" w:cs="Arial"/>
          <w:sz w:val="20"/>
        </w:rPr>
        <w:t xml:space="preserve"> trakční elektrické energie (dále též „</w:t>
      </w:r>
      <w:r w:rsidRPr="00927C8A">
        <w:rPr>
          <w:rFonts w:ascii="Arial" w:hAnsi="Arial"/>
          <w:b/>
          <w:sz w:val="20"/>
        </w:rPr>
        <w:t>EMS</w:t>
      </w:r>
      <w:r w:rsidR="00885094" w:rsidRPr="00885094">
        <w:rPr>
          <w:rFonts w:ascii="Arial" w:hAnsi="Arial" w:cs="Arial"/>
          <w:sz w:val="20"/>
        </w:rPr>
        <w:t>“),</w:t>
      </w:r>
      <w:r w:rsidRPr="004B3CDA">
        <w:rPr>
          <w:rFonts w:ascii="Arial" w:hAnsi="Arial" w:cs="Arial"/>
          <w:sz w:val="20"/>
        </w:rPr>
        <w:t xml:space="preserve"> a hnacími vozidly bez </w:t>
      </w:r>
      <w:proofErr w:type="gramStart"/>
      <w:r w:rsidR="00885094" w:rsidRPr="00885094">
        <w:rPr>
          <w:rFonts w:ascii="Arial" w:hAnsi="Arial" w:cs="Arial"/>
          <w:sz w:val="20"/>
        </w:rPr>
        <w:t>EMS</w:t>
      </w:r>
      <w:proofErr w:type="gramEnd"/>
      <w:r w:rsidRPr="004B3CDA">
        <w:rPr>
          <w:rFonts w:ascii="Arial" w:hAnsi="Arial" w:cs="Arial"/>
          <w:sz w:val="20"/>
        </w:rPr>
        <w:t>.</w:t>
      </w:r>
    </w:p>
    <w:p w14:paraId="519B7E61" w14:textId="727FEBBF" w:rsidR="004B3CDA" w:rsidRPr="004B3CDA" w:rsidRDefault="004B3CDA" w:rsidP="00927C8A">
      <w:pPr>
        <w:pStyle w:val="Odstavecseseznamem"/>
        <w:numPr>
          <w:ilvl w:val="1"/>
          <w:numId w:val="39"/>
        </w:numPr>
        <w:spacing w:before="0"/>
        <w:ind w:left="567" w:hanging="567"/>
        <w:contextualSpacing w:val="0"/>
        <w:rPr>
          <w:rFonts w:ascii="Arial" w:hAnsi="Arial" w:cs="Arial"/>
          <w:sz w:val="20"/>
        </w:rPr>
      </w:pPr>
      <w:r w:rsidRPr="004B3CDA">
        <w:rPr>
          <w:rFonts w:ascii="Arial" w:hAnsi="Arial" w:cs="Arial"/>
          <w:sz w:val="20"/>
        </w:rPr>
        <w:t>V případě hnacích vozidel vybavených EMS bude spotřeba trakční elektrické energie stanovena na úrovni jednotlivého vlaku</w:t>
      </w:r>
      <w:r w:rsidR="00885094" w:rsidRPr="00885094">
        <w:rPr>
          <w:rFonts w:ascii="Arial" w:hAnsi="Arial" w:cs="Arial"/>
          <w:sz w:val="20"/>
        </w:rPr>
        <w:t xml:space="preserve"> dle příslušných kategorií vlaku dle</w:t>
      </w:r>
      <w:r w:rsidRPr="004B3CDA">
        <w:rPr>
          <w:rFonts w:ascii="Arial" w:hAnsi="Arial" w:cs="Arial"/>
          <w:sz w:val="20"/>
        </w:rPr>
        <w:t xml:space="preserve"> Smlouvy o</w:t>
      </w:r>
      <w:r w:rsidR="00885094" w:rsidRPr="00885094">
        <w:rPr>
          <w:rFonts w:ascii="Arial" w:hAnsi="Arial" w:cs="Arial"/>
          <w:sz w:val="20"/>
        </w:rPr>
        <w:t> </w:t>
      </w:r>
      <w:r w:rsidRPr="004B3CDA">
        <w:rPr>
          <w:rFonts w:ascii="Arial" w:hAnsi="Arial" w:cs="Arial"/>
          <w:sz w:val="20"/>
        </w:rPr>
        <w:t xml:space="preserve">provozování (jak je definována v preambuli </w:t>
      </w:r>
      <w:r w:rsidR="00885094">
        <w:rPr>
          <w:rFonts w:ascii="Arial" w:hAnsi="Arial" w:cs="Arial"/>
          <w:sz w:val="20"/>
        </w:rPr>
        <w:t>této</w:t>
      </w:r>
      <w:r w:rsidRPr="004B3CDA">
        <w:rPr>
          <w:rFonts w:ascii="Arial" w:hAnsi="Arial" w:cs="Arial"/>
          <w:sz w:val="20"/>
        </w:rPr>
        <w:t xml:space="preserve"> smlouvy</w:t>
      </w:r>
      <w:r w:rsidR="00885094">
        <w:rPr>
          <w:rFonts w:ascii="Arial" w:hAnsi="Arial" w:cs="Arial"/>
          <w:sz w:val="20"/>
        </w:rPr>
        <w:t xml:space="preserve"> o dodávkách</w:t>
      </w:r>
      <w:r w:rsidR="00885094" w:rsidRPr="00885094">
        <w:rPr>
          <w:rFonts w:ascii="Arial" w:hAnsi="Arial" w:cs="Arial"/>
          <w:sz w:val="20"/>
        </w:rPr>
        <w:t xml:space="preserve">). </w:t>
      </w:r>
    </w:p>
    <w:p w14:paraId="6CD3CD94" w14:textId="77777777" w:rsidR="00885094" w:rsidRPr="00885094" w:rsidRDefault="00885094" w:rsidP="00885094">
      <w:pPr>
        <w:pStyle w:val="Odstavecseseznamem"/>
        <w:spacing w:before="0"/>
        <w:ind w:left="567"/>
        <w:contextualSpacing w:val="0"/>
        <w:rPr>
          <w:rFonts w:ascii="Arial" w:hAnsi="Arial" w:cs="Arial"/>
          <w:sz w:val="20"/>
        </w:rPr>
      </w:pPr>
      <w:r w:rsidRPr="00885094">
        <w:rPr>
          <w:rFonts w:ascii="Arial" w:hAnsi="Arial" w:cs="Arial"/>
          <w:sz w:val="20"/>
        </w:rPr>
        <w:t xml:space="preserve">Měrnou spotřebou se v této </w:t>
      </w:r>
      <w:r>
        <w:rPr>
          <w:rFonts w:ascii="Arial" w:hAnsi="Arial" w:cs="Arial"/>
          <w:sz w:val="20"/>
        </w:rPr>
        <w:t>smlouvě o dodávkách</w:t>
      </w:r>
      <w:r w:rsidRPr="00885094">
        <w:rPr>
          <w:rFonts w:ascii="Arial" w:hAnsi="Arial" w:cs="Arial"/>
          <w:sz w:val="20"/>
        </w:rPr>
        <w:t xml:space="preserve"> rozumí spotřeba trakční elektrické energie změřená nebo vypočtená (tzv. stanovená) na sběrači hnacího vozidla na jednotku dopravního výkonu </w:t>
      </w:r>
      <w:proofErr w:type="gramStart"/>
      <w:r w:rsidRPr="00885094">
        <w:rPr>
          <w:rFonts w:ascii="Arial" w:hAnsi="Arial" w:cs="Arial"/>
          <w:sz w:val="20"/>
        </w:rPr>
        <w:t>beze</w:t>
      </w:r>
      <w:proofErr w:type="gramEnd"/>
      <w:r w:rsidRPr="00885094">
        <w:rPr>
          <w:rFonts w:ascii="Arial" w:hAnsi="Arial" w:cs="Arial"/>
          <w:sz w:val="20"/>
        </w:rPr>
        <w:t xml:space="preserve"> technických ztrát v trakční soustavě.</w:t>
      </w:r>
    </w:p>
    <w:p w14:paraId="554C3FB4" w14:textId="77777777" w:rsidR="004B3CDA" w:rsidRPr="004B3CDA" w:rsidRDefault="004B3CDA" w:rsidP="00927C8A">
      <w:pPr>
        <w:spacing w:after="120"/>
        <w:ind w:left="567"/>
        <w:rPr>
          <w:rFonts w:ascii="Arial" w:hAnsi="Arial" w:cs="Arial"/>
          <w:sz w:val="20"/>
          <w:szCs w:val="20"/>
        </w:rPr>
      </w:pPr>
      <w:r w:rsidRPr="004B3CDA">
        <w:rPr>
          <w:rFonts w:ascii="Arial" w:hAnsi="Arial" w:cs="Arial"/>
          <w:sz w:val="20"/>
          <w:szCs w:val="20"/>
        </w:rPr>
        <w:t>Vstupem do hybridního modelu budou vlaky rozděleny do následujících skupin:</w:t>
      </w:r>
    </w:p>
    <w:p w14:paraId="1482A300" w14:textId="77777777" w:rsidR="00885094" w:rsidRPr="00885094" w:rsidRDefault="00885094" w:rsidP="00885094">
      <w:pPr>
        <w:pStyle w:val="Odstavecseseznamem"/>
        <w:numPr>
          <w:ilvl w:val="0"/>
          <w:numId w:val="34"/>
        </w:numPr>
        <w:spacing w:before="0"/>
        <w:ind w:hanging="578"/>
        <w:contextualSpacing w:val="0"/>
        <w:rPr>
          <w:rFonts w:ascii="Arial" w:hAnsi="Arial" w:cs="Arial"/>
          <w:sz w:val="20"/>
          <w:u w:val="single"/>
        </w:rPr>
      </w:pPr>
      <w:r w:rsidRPr="00885094">
        <w:rPr>
          <w:rFonts w:ascii="Arial" w:hAnsi="Arial" w:cs="Arial"/>
          <w:sz w:val="20"/>
          <w:u w:val="single"/>
        </w:rPr>
        <w:t>Vlaky bez funkčního EMS</w:t>
      </w:r>
    </w:p>
    <w:p w14:paraId="29F17C8F" w14:textId="7C289120" w:rsidR="004B3CDA" w:rsidRPr="004B3CDA" w:rsidRDefault="004B3CDA" w:rsidP="00927C8A">
      <w:pPr>
        <w:spacing w:after="120"/>
        <w:ind w:left="567"/>
        <w:jc w:val="both"/>
        <w:rPr>
          <w:rFonts w:ascii="Arial" w:hAnsi="Arial" w:cs="Arial"/>
          <w:sz w:val="20"/>
          <w:szCs w:val="20"/>
        </w:rPr>
      </w:pPr>
      <w:r w:rsidRPr="004B3CDA">
        <w:rPr>
          <w:rFonts w:ascii="Arial" w:hAnsi="Arial" w:cs="Arial"/>
          <w:sz w:val="20"/>
          <w:szCs w:val="20"/>
        </w:rPr>
        <w:t xml:space="preserve">V případě, že u všech EHV/EJ </w:t>
      </w:r>
      <w:r w:rsidR="00885094" w:rsidRPr="00885094">
        <w:rPr>
          <w:rFonts w:ascii="Arial" w:hAnsi="Arial" w:cs="Arial"/>
          <w:sz w:val="20"/>
          <w:szCs w:val="20"/>
        </w:rPr>
        <w:t xml:space="preserve">(EHV = elektrické hnací vozidlo závislé trakce, EJ = elektrická jednotka závislé trakce), </w:t>
      </w:r>
      <w:r w:rsidRPr="004B3CDA">
        <w:rPr>
          <w:rFonts w:ascii="Arial" w:hAnsi="Arial" w:cs="Arial"/>
          <w:sz w:val="20"/>
          <w:szCs w:val="20"/>
        </w:rPr>
        <w:t>podílejících se na realizaci dopravního výkonu</w:t>
      </w:r>
      <w:r w:rsidR="00885094" w:rsidRPr="00885094">
        <w:rPr>
          <w:rFonts w:ascii="Arial" w:hAnsi="Arial" w:cs="Arial"/>
          <w:sz w:val="20"/>
          <w:szCs w:val="20"/>
        </w:rPr>
        <w:t>,</w:t>
      </w:r>
      <w:r w:rsidRPr="004B3CDA">
        <w:rPr>
          <w:rFonts w:ascii="Arial" w:hAnsi="Arial" w:cs="Arial"/>
          <w:sz w:val="20"/>
          <w:szCs w:val="20"/>
        </w:rPr>
        <w:t xml:space="preserve"> není možné dosáhnout hodnoty naměřené spotřeby trakční elektrické energie, je vlak vyhodnocen jako neměřený a pro tento dopravní výkon se vypočítá spotřeba trakční elektrické energie pomocí měrných spotřeb.</w:t>
      </w:r>
    </w:p>
    <w:p w14:paraId="3B5477A1" w14:textId="77777777" w:rsidR="004B3CDA" w:rsidRPr="004B3CDA" w:rsidRDefault="004B3CDA" w:rsidP="00927C8A">
      <w:pPr>
        <w:pStyle w:val="Odstavecseseznamem"/>
        <w:numPr>
          <w:ilvl w:val="0"/>
          <w:numId w:val="34"/>
        </w:numPr>
        <w:spacing w:before="0"/>
        <w:ind w:hanging="578"/>
        <w:contextualSpacing w:val="0"/>
        <w:rPr>
          <w:rFonts w:ascii="Arial" w:hAnsi="Arial" w:cs="Arial"/>
          <w:sz w:val="20"/>
          <w:u w:val="single"/>
        </w:rPr>
      </w:pPr>
      <w:r w:rsidRPr="004B3CDA">
        <w:rPr>
          <w:rFonts w:ascii="Arial" w:hAnsi="Arial" w:cs="Arial"/>
          <w:sz w:val="20"/>
          <w:u w:val="single"/>
        </w:rPr>
        <w:t>Vlaky s funkčním EMS</w:t>
      </w:r>
    </w:p>
    <w:p w14:paraId="4646F576" w14:textId="77777777" w:rsidR="004B3CDA" w:rsidRPr="004B3CDA" w:rsidRDefault="004B3CDA" w:rsidP="00927C8A">
      <w:pPr>
        <w:spacing w:after="120"/>
        <w:ind w:left="567"/>
        <w:jc w:val="both"/>
        <w:rPr>
          <w:rFonts w:ascii="Arial" w:hAnsi="Arial" w:cs="Arial"/>
          <w:sz w:val="20"/>
          <w:szCs w:val="20"/>
        </w:rPr>
      </w:pPr>
      <w:r w:rsidRPr="004B3CDA">
        <w:rPr>
          <w:rFonts w:ascii="Arial" w:hAnsi="Arial" w:cs="Arial"/>
          <w:sz w:val="20"/>
          <w:szCs w:val="20"/>
        </w:rPr>
        <w:t>V případě, že u všech EHV/EJ podílejících se na realizaci vlakového výkonu je možné dosáhnout hodnoty naměřené spotřeby trakční elektrické energie, je vlak vyhodnocen jako měřený a spotřeba trakční elektrické energie se zahrnuje do celkové spotřeby EHV/EJ za celý měsíc.</w:t>
      </w:r>
    </w:p>
    <w:p w14:paraId="2B439A44" w14:textId="77777777" w:rsidR="004B3CDA" w:rsidRPr="004B3CDA" w:rsidRDefault="004B3CDA" w:rsidP="00927C8A">
      <w:pPr>
        <w:pStyle w:val="Odstavecseseznamem"/>
        <w:numPr>
          <w:ilvl w:val="0"/>
          <w:numId w:val="34"/>
        </w:numPr>
        <w:spacing w:before="0"/>
        <w:ind w:hanging="578"/>
        <w:contextualSpacing w:val="0"/>
        <w:rPr>
          <w:rFonts w:ascii="Arial" w:hAnsi="Arial" w:cs="Arial"/>
          <w:sz w:val="20"/>
          <w:u w:val="single"/>
        </w:rPr>
      </w:pPr>
      <w:r w:rsidRPr="004B3CDA">
        <w:rPr>
          <w:rFonts w:ascii="Arial" w:hAnsi="Arial" w:cs="Arial"/>
          <w:sz w:val="20"/>
          <w:u w:val="single"/>
        </w:rPr>
        <w:t xml:space="preserve">Vlaky s více EHV/EJ a současně kombinací EHV/EJ s a bez </w:t>
      </w:r>
      <w:proofErr w:type="gramStart"/>
      <w:r w:rsidRPr="004B3CDA">
        <w:rPr>
          <w:rFonts w:ascii="Arial" w:hAnsi="Arial" w:cs="Arial"/>
          <w:sz w:val="20"/>
          <w:u w:val="single"/>
        </w:rPr>
        <w:t>EMS</w:t>
      </w:r>
      <w:proofErr w:type="gramEnd"/>
    </w:p>
    <w:p w14:paraId="5B81F9D8" w14:textId="1843BF18" w:rsidR="004B3CDA" w:rsidRPr="004B3CDA" w:rsidRDefault="004B3CDA" w:rsidP="00927C8A">
      <w:pPr>
        <w:spacing w:after="120"/>
        <w:ind w:left="567"/>
        <w:jc w:val="both"/>
        <w:rPr>
          <w:rFonts w:ascii="Arial" w:hAnsi="Arial" w:cs="Arial"/>
          <w:sz w:val="20"/>
          <w:szCs w:val="20"/>
        </w:rPr>
      </w:pPr>
      <w:r w:rsidRPr="004B3CDA">
        <w:rPr>
          <w:rFonts w:ascii="Arial" w:hAnsi="Arial" w:cs="Arial"/>
          <w:sz w:val="20"/>
          <w:szCs w:val="20"/>
        </w:rPr>
        <w:t xml:space="preserve">V případě, že pouze u části vlaku je možné dosáhnout hodnoty naměřené spotřeby trakční elektrické energie, je vlak vyhodnocován jako kombinovaný a to tak, že je pro něj vypočítána spotřeba trakční elektrické energie pomocí měrných spotřeb (stejně jako u neměřeného vlaku – bez </w:t>
      </w:r>
      <w:proofErr w:type="gramStart"/>
      <w:r w:rsidRPr="004B3CDA">
        <w:rPr>
          <w:rFonts w:ascii="Arial" w:hAnsi="Arial" w:cs="Arial"/>
          <w:sz w:val="20"/>
          <w:szCs w:val="20"/>
        </w:rPr>
        <w:t>EMS</w:t>
      </w:r>
      <w:proofErr w:type="gramEnd"/>
      <w:r w:rsidRPr="004B3CDA">
        <w:rPr>
          <w:rFonts w:ascii="Arial" w:hAnsi="Arial" w:cs="Arial"/>
          <w:sz w:val="20"/>
          <w:szCs w:val="20"/>
        </w:rPr>
        <w:t xml:space="preserve">) a od této hodnoty je odečtena spotřeba trakční elektrické energie na měřených EHV/EJ. Tato </w:t>
      </w:r>
      <w:r w:rsidR="002C1C65">
        <w:rPr>
          <w:rFonts w:ascii="Arial" w:hAnsi="Arial" w:cs="Arial"/>
          <w:sz w:val="20"/>
          <w:szCs w:val="20"/>
        </w:rPr>
        <w:t xml:space="preserve">odečtená </w:t>
      </w:r>
      <w:r w:rsidR="001D4697">
        <w:rPr>
          <w:rFonts w:ascii="Arial" w:hAnsi="Arial" w:cs="Arial"/>
          <w:sz w:val="20"/>
          <w:szCs w:val="20"/>
        </w:rPr>
        <w:t>naměřená</w:t>
      </w:r>
      <w:r w:rsidR="002C1C65">
        <w:rPr>
          <w:rFonts w:ascii="Arial" w:hAnsi="Arial" w:cs="Arial"/>
          <w:sz w:val="20"/>
          <w:szCs w:val="20"/>
        </w:rPr>
        <w:t xml:space="preserve"> spotřeba </w:t>
      </w:r>
      <w:r w:rsidRPr="004B3CDA">
        <w:rPr>
          <w:rFonts w:ascii="Arial" w:hAnsi="Arial" w:cs="Arial"/>
          <w:sz w:val="20"/>
          <w:szCs w:val="20"/>
        </w:rPr>
        <w:t>trakční elektrické energie je zahrnuta do celkové spotřeby trakční elektrické energie EHV/EJ za celý měsíc.</w:t>
      </w:r>
    </w:p>
    <w:p w14:paraId="245AB6D3" w14:textId="77777777" w:rsidR="004B3CDA" w:rsidRPr="004B3CDA" w:rsidRDefault="004B3CDA" w:rsidP="00927C8A">
      <w:pPr>
        <w:pStyle w:val="Odstavecseseznamem"/>
        <w:numPr>
          <w:ilvl w:val="0"/>
          <w:numId w:val="34"/>
        </w:numPr>
        <w:spacing w:before="0"/>
        <w:ind w:hanging="578"/>
        <w:contextualSpacing w:val="0"/>
        <w:rPr>
          <w:rFonts w:ascii="Arial" w:hAnsi="Arial" w:cs="Arial"/>
          <w:sz w:val="20"/>
          <w:u w:val="single"/>
        </w:rPr>
      </w:pPr>
      <w:r w:rsidRPr="004B3CDA">
        <w:rPr>
          <w:rFonts w:ascii="Arial" w:hAnsi="Arial" w:cs="Arial"/>
          <w:sz w:val="20"/>
          <w:u w:val="single"/>
        </w:rPr>
        <w:t xml:space="preserve">Vlaky s nevalidními daty z </w:t>
      </w:r>
      <w:proofErr w:type="gramStart"/>
      <w:r w:rsidRPr="004B3CDA">
        <w:rPr>
          <w:rFonts w:ascii="Arial" w:hAnsi="Arial" w:cs="Arial"/>
          <w:sz w:val="20"/>
          <w:u w:val="single"/>
        </w:rPr>
        <w:t>EMS</w:t>
      </w:r>
      <w:proofErr w:type="gramEnd"/>
    </w:p>
    <w:p w14:paraId="472490F2" w14:textId="7A06C96B" w:rsidR="004B3CDA" w:rsidRPr="004B3CDA" w:rsidRDefault="004B3CDA" w:rsidP="00927C8A">
      <w:pPr>
        <w:spacing w:after="120"/>
        <w:ind w:left="567"/>
        <w:jc w:val="both"/>
        <w:rPr>
          <w:rFonts w:ascii="Arial" w:hAnsi="Arial" w:cs="Arial"/>
          <w:sz w:val="20"/>
          <w:szCs w:val="20"/>
        </w:rPr>
      </w:pPr>
      <w:r w:rsidRPr="004B3CDA">
        <w:rPr>
          <w:rFonts w:ascii="Arial" w:hAnsi="Arial" w:cs="Arial"/>
          <w:sz w:val="20"/>
          <w:szCs w:val="20"/>
        </w:rPr>
        <w:t xml:space="preserve">V případě, že není možné vyhodnotit spotřebu trakční elektrické energie u měřeného EHV/EJ (např. je znám stav elektroměru na počátku, ale z důvodu výpadku není znám stav elektroměru na konci měření), je na tomto vlaku EHV/EJ vyhodnocováno jako neměřené – vlak bez </w:t>
      </w:r>
      <w:proofErr w:type="gramStart"/>
      <w:r w:rsidRPr="004B3CDA">
        <w:rPr>
          <w:rFonts w:ascii="Arial" w:hAnsi="Arial" w:cs="Arial"/>
          <w:sz w:val="20"/>
          <w:szCs w:val="20"/>
        </w:rPr>
        <w:t>EMS</w:t>
      </w:r>
      <w:proofErr w:type="gramEnd"/>
      <w:r w:rsidRPr="004B3CDA">
        <w:rPr>
          <w:rFonts w:ascii="Arial" w:hAnsi="Arial" w:cs="Arial"/>
          <w:sz w:val="20"/>
          <w:szCs w:val="20"/>
        </w:rPr>
        <w:t xml:space="preserve">. Veškerá spotřeba trakční elektrické energie tohoto EHV /EJ na vlaku, kterou je možné vyhodnotit </w:t>
      </w:r>
      <w:r w:rsidR="00885094" w:rsidRPr="00885094">
        <w:rPr>
          <w:rFonts w:ascii="Arial" w:hAnsi="Arial" w:cs="Arial"/>
          <w:sz w:val="20"/>
          <w:szCs w:val="20"/>
        </w:rPr>
        <w:t xml:space="preserve">z části (konkrétní dny v měsíci) dle </w:t>
      </w:r>
      <w:r w:rsidR="00885094" w:rsidRPr="00885094">
        <w:rPr>
          <w:rFonts w:ascii="Arial" w:hAnsi="Arial" w:cs="Arial"/>
          <w:b/>
          <w:sz w:val="20"/>
          <w:szCs w:val="20"/>
        </w:rPr>
        <w:t xml:space="preserve">odstavce </w:t>
      </w:r>
      <w:r w:rsidR="00885094">
        <w:rPr>
          <w:rFonts w:ascii="Arial" w:hAnsi="Arial" w:cs="Arial"/>
          <w:b/>
          <w:sz w:val="20"/>
          <w:szCs w:val="20"/>
        </w:rPr>
        <w:t>1</w:t>
      </w:r>
      <w:r w:rsidR="00885094" w:rsidRPr="00885094">
        <w:rPr>
          <w:rFonts w:ascii="Arial" w:hAnsi="Arial" w:cs="Arial"/>
          <w:b/>
          <w:sz w:val="20"/>
          <w:szCs w:val="20"/>
        </w:rPr>
        <w:t>.3 písm. b)</w:t>
      </w:r>
      <w:r w:rsidR="00885094" w:rsidRPr="00885094">
        <w:rPr>
          <w:rFonts w:ascii="Arial" w:hAnsi="Arial" w:cs="Arial"/>
          <w:sz w:val="20"/>
          <w:szCs w:val="20"/>
        </w:rPr>
        <w:t xml:space="preserve"> této </w:t>
      </w:r>
      <w:r w:rsidR="00885094">
        <w:rPr>
          <w:rFonts w:ascii="Arial" w:hAnsi="Arial" w:cs="Arial"/>
          <w:sz w:val="20"/>
          <w:szCs w:val="20"/>
        </w:rPr>
        <w:t xml:space="preserve">přílohy </w:t>
      </w:r>
      <w:r w:rsidRPr="004B3CDA">
        <w:rPr>
          <w:rFonts w:ascii="Arial" w:hAnsi="Arial" w:cs="Arial"/>
          <w:sz w:val="20"/>
          <w:szCs w:val="20"/>
        </w:rPr>
        <w:t>je odečtena od celkové měsíční spotřeby trakční elektrické energie příslušného EHV/EJ</w:t>
      </w:r>
      <w:r w:rsidR="00885094" w:rsidRPr="00885094">
        <w:rPr>
          <w:rFonts w:ascii="Arial" w:hAnsi="Arial" w:cs="Arial"/>
          <w:sz w:val="20"/>
          <w:szCs w:val="20"/>
        </w:rPr>
        <w:t xml:space="preserve"> vypočítané podle dle </w:t>
      </w:r>
      <w:r w:rsidR="00885094" w:rsidRPr="00885094">
        <w:rPr>
          <w:rFonts w:ascii="Arial" w:hAnsi="Arial" w:cs="Arial"/>
          <w:b/>
          <w:sz w:val="20"/>
          <w:szCs w:val="20"/>
        </w:rPr>
        <w:t xml:space="preserve">odstavce </w:t>
      </w:r>
      <w:r w:rsidR="00885094">
        <w:rPr>
          <w:rFonts w:ascii="Arial" w:hAnsi="Arial" w:cs="Arial"/>
          <w:b/>
          <w:sz w:val="20"/>
          <w:szCs w:val="20"/>
        </w:rPr>
        <w:t>1</w:t>
      </w:r>
      <w:r w:rsidR="00885094" w:rsidRPr="00885094">
        <w:rPr>
          <w:rFonts w:ascii="Arial" w:hAnsi="Arial" w:cs="Arial"/>
          <w:b/>
          <w:sz w:val="20"/>
          <w:szCs w:val="20"/>
        </w:rPr>
        <w:t>.3 písm. a)</w:t>
      </w:r>
      <w:r w:rsidR="00885094" w:rsidRPr="00885094">
        <w:rPr>
          <w:rFonts w:ascii="Arial" w:hAnsi="Arial" w:cs="Arial"/>
          <w:sz w:val="20"/>
          <w:szCs w:val="20"/>
        </w:rPr>
        <w:t xml:space="preserve"> této </w:t>
      </w:r>
      <w:r w:rsidR="00885094">
        <w:rPr>
          <w:rFonts w:ascii="Arial" w:hAnsi="Arial" w:cs="Arial"/>
          <w:sz w:val="20"/>
          <w:szCs w:val="20"/>
        </w:rPr>
        <w:t>přílohy</w:t>
      </w:r>
      <w:r w:rsidR="00885094" w:rsidRPr="00885094">
        <w:rPr>
          <w:rFonts w:ascii="Arial" w:hAnsi="Arial" w:cs="Arial"/>
          <w:sz w:val="20"/>
          <w:szCs w:val="20"/>
        </w:rPr>
        <w:t xml:space="preserve">. Tato </w:t>
      </w:r>
      <w:r w:rsidR="002C1C65">
        <w:rPr>
          <w:rFonts w:ascii="Arial" w:hAnsi="Arial" w:cs="Arial"/>
          <w:sz w:val="20"/>
          <w:szCs w:val="20"/>
        </w:rPr>
        <w:t xml:space="preserve">odečtená </w:t>
      </w:r>
      <w:r w:rsidR="001D4697">
        <w:rPr>
          <w:rFonts w:ascii="Arial" w:hAnsi="Arial" w:cs="Arial"/>
          <w:sz w:val="20"/>
          <w:szCs w:val="20"/>
        </w:rPr>
        <w:t>naměřená</w:t>
      </w:r>
      <w:r w:rsidR="002C1C65">
        <w:rPr>
          <w:rFonts w:ascii="Arial" w:hAnsi="Arial" w:cs="Arial"/>
          <w:sz w:val="20"/>
          <w:szCs w:val="20"/>
        </w:rPr>
        <w:t xml:space="preserve"> spotřeba</w:t>
      </w:r>
      <w:r w:rsidR="00885094" w:rsidRPr="00885094">
        <w:rPr>
          <w:rFonts w:ascii="Arial" w:hAnsi="Arial" w:cs="Arial"/>
          <w:sz w:val="20"/>
          <w:szCs w:val="20"/>
        </w:rPr>
        <w:t xml:space="preserve"> trakční elektrické energie je zahrnuta do celkové spotřeby trakční elektrické energie EHV/EJ za celý měsíc</w:t>
      </w:r>
      <w:r w:rsidRPr="004B3CDA">
        <w:rPr>
          <w:rFonts w:ascii="Arial" w:hAnsi="Arial" w:cs="Arial"/>
          <w:sz w:val="20"/>
          <w:szCs w:val="20"/>
        </w:rPr>
        <w:t>.</w:t>
      </w:r>
    </w:p>
    <w:p w14:paraId="12511FE6" w14:textId="360F8060" w:rsidR="004B3CDA" w:rsidRPr="004B3CDA" w:rsidRDefault="004B3CDA" w:rsidP="00927C8A">
      <w:pPr>
        <w:pStyle w:val="Odstavecseseznamem"/>
        <w:numPr>
          <w:ilvl w:val="1"/>
          <w:numId w:val="39"/>
        </w:numPr>
        <w:spacing w:before="0"/>
        <w:ind w:left="567" w:hanging="567"/>
        <w:contextualSpacing w:val="0"/>
        <w:rPr>
          <w:rFonts w:ascii="Arial" w:hAnsi="Arial" w:cs="Arial"/>
          <w:sz w:val="20"/>
        </w:rPr>
      </w:pPr>
      <w:r w:rsidRPr="004B3CDA">
        <w:rPr>
          <w:rFonts w:ascii="Arial" w:hAnsi="Arial" w:cs="Arial"/>
          <w:sz w:val="20"/>
        </w:rPr>
        <w:t xml:space="preserve">Principiálně je hybridní model popsán </w:t>
      </w:r>
      <w:r w:rsidR="00885094" w:rsidRPr="00885094">
        <w:rPr>
          <w:rFonts w:ascii="Arial" w:hAnsi="Arial" w:cs="Arial"/>
          <w:sz w:val="20"/>
        </w:rPr>
        <w:t>v</w:t>
      </w:r>
      <w:r w:rsidRPr="004B3CDA">
        <w:rPr>
          <w:rFonts w:ascii="Arial" w:hAnsi="Arial" w:cs="Arial"/>
          <w:sz w:val="20"/>
        </w:rPr>
        <w:t xml:space="preserve"> níže uvedeném schématu, z něhož </w:t>
      </w:r>
      <w:r w:rsidR="00885094" w:rsidRPr="00885094">
        <w:rPr>
          <w:rFonts w:ascii="Arial" w:hAnsi="Arial" w:cs="Arial"/>
          <w:sz w:val="20"/>
        </w:rPr>
        <w:t xml:space="preserve">sice </w:t>
      </w:r>
      <w:r w:rsidRPr="004B3CDA">
        <w:rPr>
          <w:rFonts w:ascii="Arial" w:hAnsi="Arial" w:cs="Arial"/>
          <w:sz w:val="20"/>
        </w:rPr>
        <w:t>nelze dovozovat detailní fungování a nastavení způsobu rozúčtování trakční elektrické energie</w:t>
      </w:r>
      <w:r w:rsidR="00885094" w:rsidRPr="00885094">
        <w:rPr>
          <w:rFonts w:ascii="Arial" w:hAnsi="Arial" w:cs="Arial"/>
          <w:sz w:val="20"/>
        </w:rPr>
        <w:t xml:space="preserve">, nicméně </w:t>
      </w:r>
      <w:r w:rsidR="00885094">
        <w:rPr>
          <w:rFonts w:ascii="Arial" w:hAnsi="Arial" w:cs="Arial"/>
          <w:sz w:val="20"/>
        </w:rPr>
        <w:t>smluvní s</w:t>
      </w:r>
      <w:r w:rsidR="00885094" w:rsidRPr="00885094">
        <w:rPr>
          <w:rFonts w:ascii="Arial" w:hAnsi="Arial" w:cs="Arial"/>
          <w:sz w:val="20"/>
        </w:rPr>
        <w:t>trany se dohodly na tom, že toto schéma popisuje</w:t>
      </w:r>
      <w:r w:rsidRPr="004B3CDA">
        <w:rPr>
          <w:rFonts w:ascii="Arial" w:hAnsi="Arial" w:cs="Arial"/>
          <w:sz w:val="20"/>
        </w:rPr>
        <w:t xml:space="preserve"> základní principiální schéma hybridního modelu</w:t>
      </w:r>
      <w:r w:rsidR="00885094" w:rsidRPr="00885094">
        <w:rPr>
          <w:rFonts w:ascii="Arial" w:hAnsi="Arial" w:cs="Arial"/>
          <w:sz w:val="20"/>
        </w:rPr>
        <w:t xml:space="preserve">, které bude respektováno a je pro obě </w:t>
      </w:r>
      <w:r w:rsidR="00885094">
        <w:rPr>
          <w:rFonts w:ascii="Arial" w:hAnsi="Arial" w:cs="Arial"/>
          <w:sz w:val="20"/>
        </w:rPr>
        <w:t>smluvní s</w:t>
      </w:r>
      <w:r w:rsidR="00885094" w:rsidRPr="00885094">
        <w:rPr>
          <w:rFonts w:ascii="Arial" w:hAnsi="Arial" w:cs="Arial"/>
          <w:sz w:val="20"/>
        </w:rPr>
        <w:t xml:space="preserve">trany závazné, a bez případné dohody obou </w:t>
      </w:r>
      <w:r w:rsidR="00885094">
        <w:rPr>
          <w:rFonts w:ascii="Arial" w:hAnsi="Arial" w:cs="Arial"/>
          <w:sz w:val="20"/>
        </w:rPr>
        <w:t>smluvní</w:t>
      </w:r>
      <w:r w:rsidR="00B12E48">
        <w:rPr>
          <w:rFonts w:ascii="Arial" w:hAnsi="Arial" w:cs="Arial"/>
          <w:sz w:val="20"/>
        </w:rPr>
        <w:t>ch</w:t>
      </w:r>
      <w:r w:rsidR="00885094">
        <w:rPr>
          <w:rFonts w:ascii="Arial" w:hAnsi="Arial" w:cs="Arial"/>
          <w:sz w:val="20"/>
        </w:rPr>
        <w:t xml:space="preserve"> s</w:t>
      </w:r>
      <w:r w:rsidR="00885094" w:rsidRPr="00885094">
        <w:rPr>
          <w:rFonts w:ascii="Arial" w:hAnsi="Arial" w:cs="Arial"/>
          <w:sz w:val="20"/>
        </w:rPr>
        <w:t>tran na případné změně těchto principů pozdějším nelze tyto principy měnit</w:t>
      </w:r>
      <w:r w:rsidRPr="004B3CDA">
        <w:rPr>
          <w:rFonts w:ascii="Arial" w:hAnsi="Arial" w:cs="Arial"/>
          <w:sz w:val="20"/>
        </w:rPr>
        <w:t>.</w:t>
      </w:r>
    </w:p>
    <w:p w14:paraId="5B80523E" w14:textId="77777777" w:rsidR="00885094" w:rsidRPr="00885094" w:rsidRDefault="00885094" w:rsidP="00885094">
      <w:pPr>
        <w:spacing w:after="120"/>
        <w:rPr>
          <w:rFonts w:ascii="Arial" w:hAnsi="Arial" w:cs="Arial"/>
          <w:sz w:val="20"/>
          <w:szCs w:val="20"/>
        </w:rPr>
      </w:pPr>
    </w:p>
    <w:p w14:paraId="4D416D0E" w14:textId="77777777" w:rsidR="004B3CDA" w:rsidRDefault="004B3CDA" w:rsidP="00927C8A">
      <w:pPr>
        <w:spacing w:after="120"/>
        <w:ind w:left="426"/>
        <w:jc w:val="center"/>
        <w:rPr>
          <w:rFonts w:ascii="Arial" w:hAnsi="Arial" w:cs="Arial"/>
          <w:sz w:val="20"/>
        </w:rPr>
      </w:pPr>
      <w:r w:rsidRPr="003873ED">
        <w:rPr>
          <w:rFonts w:ascii="Arial" w:hAnsi="Arial" w:cs="Arial"/>
          <w:noProof/>
          <w:sz w:val="20"/>
        </w:rPr>
        <w:lastRenderedPageBreak/>
        <w:drawing>
          <wp:inline distT="0" distB="0" distL="0" distR="0" wp14:anchorId="32243F32" wp14:editId="33991E4E">
            <wp:extent cx="5759450" cy="3547762"/>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547762"/>
                    </a:xfrm>
                    <a:prstGeom prst="rect">
                      <a:avLst/>
                    </a:prstGeom>
                    <a:noFill/>
                    <a:ln>
                      <a:noFill/>
                    </a:ln>
                  </pic:spPr>
                </pic:pic>
              </a:graphicData>
            </a:graphic>
          </wp:inline>
        </w:drawing>
      </w:r>
    </w:p>
    <w:p w14:paraId="62019C42" w14:textId="64DFE9CA" w:rsidR="004B3CDA" w:rsidRPr="004B3CDA" w:rsidRDefault="004B3CDA" w:rsidP="00927C8A">
      <w:pPr>
        <w:pStyle w:val="Odstavecseseznamem"/>
        <w:numPr>
          <w:ilvl w:val="1"/>
          <w:numId w:val="39"/>
        </w:numPr>
        <w:spacing w:before="0"/>
        <w:ind w:left="567" w:hanging="567"/>
        <w:contextualSpacing w:val="0"/>
        <w:rPr>
          <w:rFonts w:ascii="Arial" w:hAnsi="Arial" w:cs="Arial"/>
          <w:sz w:val="20"/>
        </w:rPr>
      </w:pPr>
      <w:r w:rsidRPr="004B3CDA">
        <w:rPr>
          <w:rFonts w:ascii="Arial" w:hAnsi="Arial" w:cs="Arial"/>
          <w:sz w:val="20"/>
        </w:rPr>
        <w:t>Hybridní model pracuje s pojmem technologická spotřeba EHV (TS</w:t>
      </w:r>
      <w:r w:rsidRPr="00927C8A">
        <w:rPr>
          <w:rFonts w:ascii="Arial" w:hAnsi="Arial"/>
          <w:sz w:val="20"/>
          <w:vertAlign w:val="subscript"/>
        </w:rPr>
        <w:t>EHV</w:t>
      </w:r>
      <w:r w:rsidRPr="004B3CDA">
        <w:rPr>
          <w:rFonts w:ascii="Arial" w:hAnsi="Arial" w:cs="Arial"/>
          <w:sz w:val="20"/>
        </w:rPr>
        <w:t>). Vychází se z faktu, že měřené EHV</w:t>
      </w:r>
      <w:r w:rsidR="00885094" w:rsidRPr="00885094">
        <w:rPr>
          <w:rFonts w:ascii="Arial" w:hAnsi="Arial" w:cs="Arial"/>
          <w:sz w:val="20"/>
        </w:rPr>
        <w:t>/EJ</w:t>
      </w:r>
      <w:r w:rsidRPr="004B3CDA">
        <w:rPr>
          <w:rFonts w:ascii="Arial" w:hAnsi="Arial" w:cs="Arial"/>
          <w:sz w:val="20"/>
        </w:rPr>
        <w:t xml:space="preserve"> vykazuje spotřebu i „mimo vlak“ v systému ISOŘ/KAPO (čas odjezd, čas dojezd). Koeficientem TS</w:t>
      </w:r>
      <w:r w:rsidRPr="00927C8A">
        <w:rPr>
          <w:rFonts w:ascii="Arial" w:hAnsi="Arial"/>
          <w:sz w:val="20"/>
          <w:vertAlign w:val="subscript"/>
        </w:rPr>
        <w:t>EHV</w:t>
      </w:r>
      <w:r w:rsidRPr="004B3CDA">
        <w:rPr>
          <w:rFonts w:ascii="Arial" w:hAnsi="Arial" w:cs="Arial"/>
          <w:sz w:val="20"/>
        </w:rPr>
        <w:t xml:space="preserve"> budou zatíženy neměřené vlaky, protože návrh nových měrných spotřeb bude vycházet ze statistického sledování naměřených hodnot spotřeby sledovaných kategorií vlaků v čase odjezd vlaku – dojezd vlaku. Jedná se tedy o průměrnou hodnotu spotřeby hnacích vozidel „mimo vlak“.</w:t>
      </w:r>
    </w:p>
    <w:p w14:paraId="72D47893" w14:textId="0FCC5D68" w:rsidR="004B3CDA" w:rsidRPr="004B3CDA" w:rsidRDefault="004B3CDA" w:rsidP="00927C8A">
      <w:pPr>
        <w:pStyle w:val="Odstavecseseznamem"/>
        <w:numPr>
          <w:ilvl w:val="1"/>
          <w:numId w:val="39"/>
        </w:numPr>
        <w:spacing w:before="0"/>
        <w:ind w:left="567" w:hanging="567"/>
        <w:contextualSpacing w:val="0"/>
        <w:rPr>
          <w:rFonts w:ascii="Arial" w:hAnsi="Arial" w:cs="Arial"/>
          <w:sz w:val="20"/>
        </w:rPr>
      </w:pPr>
      <w:r w:rsidRPr="004B3CDA">
        <w:rPr>
          <w:rFonts w:ascii="Arial" w:hAnsi="Arial" w:cs="Arial"/>
          <w:sz w:val="20"/>
        </w:rPr>
        <w:t>Rekuperace bude vypořádána pouze za měřená EHV</w:t>
      </w:r>
      <w:r w:rsidR="00885094" w:rsidRPr="00885094">
        <w:rPr>
          <w:rFonts w:ascii="Arial" w:hAnsi="Arial" w:cs="Arial"/>
          <w:sz w:val="20"/>
        </w:rPr>
        <w:t>/EJ</w:t>
      </w:r>
      <w:r w:rsidRPr="004B3CDA">
        <w:rPr>
          <w:rFonts w:ascii="Arial" w:hAnsi="Arial" w:cs="Arial"/>
          <w:sz w:val="20"/>
        </w:rPr>
        <w:t xml:space="preserve">. Naměřené množství </w:t>
      </w:r>
      <w:proofErr w:type="spellStart"/>
      <w:r w:rsidR="00885094" w:rsidRPr="00885094">
        <w:rPr>
          <w:rFonts w:ascii="Arial" w:hAnsi="Arial" w:cs="Arial"/>
          <w:sz w:val="20"/>
        </w:rPr>
        <w:t>rekuperované</w:t>
      </w:r>
      <w:proofErr w:type="spellEnd"/>
      <w:r w:rsidR="00885094" w:rsidRPr="00885094">
        <w:rPr>
          <w:rFonts w:ascii="Arial" w:hAnsi="Arial" w:cs="Arial"/>
          <w:sz w:val="20"/>
        </w:rPr>
        <w:t xml:space="preserve"> energie </w:t>
      </w:r>
      <w:r w:rsidRPr="004B3CDA">
        <w:rPr>
          <w:rFonts w:ascii="Arial" w:hAnsi="Arial" w:cs="Arial"/>
          <w:sz w:val="20"/>
        </w:rPr>
        <w:t>v </w:t>
      </w:r>
      <w:r w:rsidR="00885094" w:rsidRPr="00885094">
        <w:rPr>
          <w:rFonts w:ascii="Arial" w:hAnsi="Arial" w:cs="Arial"/>
          <w:sz w:val="20"/>
        </w:rPr>
        <w:t xml:space="preserve">tzv. </w:t>
      </w:r>
      <w:r w:rsidRPr="004B3CDA">
        <w:rPr>
          <w:rFonts w:ascii="Arial" w:hAnsi="Arial" w:cs="Arial"/>
          <w:sz w:val="20"/>
        </w:rPr>
        <w:t xml:space="preserve">režimu „Dodávka“ bude oceněno jednotkovou cenou trakční elektrické energie, </w:t>
      </w:r>
      <w:r w:rsidR="00885094" w:rsidRPr="00885094">
        <w:rPr>
          <w:rFonts w:ascii="Arial" w:hAnsi="Arial" w:cs="Arial"/>
          <w:sz w:val="20"/>
        </w:rPr>
        <w:t>kterážto cena</w:t>
      </w:r>
      <w:r w:rsidRPr="004B3CDA">
        <w:rPr>
          <w:rFonts w:ascii="Arial" w:hAnsi="Arial" w:cs="Arial"/>
          <w:sz w:val="20"/>
        </w:rPr>
        <w:t xml:space="preserve"> bude stejná jako v </w:t>
      </w:r>
      <w:r w:rsidR="00885094" w:rsidRPr="00885094">
        <w:rPr>
          <w:rFonts w:ascii="Arial" w:hAnsi="Arial" w:cs="Arial"/>
          <w:sz w:val="20"/>
        </w:rPr>
        <w:t>tzv. </w:t>
      </w:r>
      <w:r w:rsidRPr="004B3CDA">
        <w:rPr>
          <w:rFonts w:ascii="Arial" w:hAnsi="Arial" w:cs="Arial"/>
          <w:sz w:val="20"/>
        </w:rPr>
        <w:t>režimu „Odběr</w:t>
      </w:r>
      <w:r w:rsidR="00885094" w:rsidRPr="00885094">
        <w:rPr>
          <w:rFonts w:ascii="Arial" w:hAnsi="Arial" w:cs="Arial"/>
          <w:sz w:val="20"/>
        </w:rPr>
        <w:t xml:space="preserve">“, tedy v režimu </w:t>
      </w:r>
      <w:r w:rsidR="0049698F" w:rsidRPr="0049698F">
        <w:rPr>
          <w:rFonts w:ascii="Arial" w:hAnsi="Arial" w:cs="Arial"/>
          <w:b/>
          <w:sz w:val="20"/>
        </w:rPr>
        <w:t>článku 5</w:t>
      </w:r>
      <w:r w:rsidR="00885094" w:rsidRPr="00885094">
        <w:rPr>
          <w:rFonts w:ascii="Arial" w:hAnsi="Arial" w:cs="Arial"/>
          <w:sz w:val="20"/>
        </w:rPr>
        <w:t xml:space="preserve"> </w:t>
      </w:r>
      <w:r w:rsidR="0049698F">
        <w:rPr>
          <w:rFonts w:ascii="Arial" w:hAnsi="Arial" w:cs="Arial"/>
          <w:sz w:val="20"/>
        </w:rPr>
        <w:t>této smlouvy o dodávkách</w:t>
      </w:r>
      <w:r w:rsidR="00885094" w:rsidRPr="00885094">
        <w:rPr>
          <w:rFonts w:ascii="Arial" w:hAnsi="Arial" w:cs="Arial"/>
          <w:sz w:val="20"/>
        </w:rPr>
        <w:t xml:space="preserve">. Vyjádření množství </w:t>
      </w:r>
      <w:proofErr w:type="spellStart"/>
      <w:r w:rsidR="00885094" w:rsidRPr="00885094">
        <w:rPr>
          <w:rFonts w:ascii="Arial" w:hAnsi="Arial" w:cs="Arial"/>
          <w:sz w:val="20"/>
        </w:rPr>
        <w:t>rekuperované</w:t>
      </w:r>
      <w:proofErr w:type="spellEnd"/>
      <w:r w:rsidR="00885094" w:rsidRPr="00885094">
        <w:rPr>
          <w:rFonts w:ascii="Arial" w:hAnsi="Arial" w:cs="Arial"/>
          <w:sz w:val="20"/>
        </w:rPr>
        <w:t xml:space="preserve"> a takto oceněné trakční elektrické energie v naturální podobě (kWh, </w:t>
      </w:r>
      <w:proofErr w:type="spellStart"/>
      <w:r w:rsidR="00885094" w:rsidRPr="00885094">
        <w:rPr>
          <w:rFonts w:ascii="Arial" w:hAnsi="Arial" w:cs="Arial"/>
          <w:sz w:val="20"/>
        </w:rPr>
        <w:t>MWh</w:t>
      </w:r>
      <w:proofErr w:type="spellEnd"/>
      <w:r w:rsidR="00885094" w:rsidRPr="00885094">
        <w:rPr>
          <w:rFonts w:ascii="Arial" w:hAnsi="Arial" w:cs="Arial"/>
          <w:sz w:val="20"/>
        </w:rPr>
        <w:t xml:space="preserve">) bude součástí přílohy faktury pro </w:t>
      </w:r>
      <w:r w:rsidR="0049698F">
        <w:rPr>
          <w:rFonts w:ascii="Arial" w:hAnsi="Arial" w:cs="Arial"/>
          <w:sz w:val="20"/>
        </w:rPr>
        <w:t>d</w:t>
      </w:r>
      <w:r w:rsidR="00885094" w:rsidRPr="00885094">
        <w:rPr>
          <w:rFonts w:ascii="Arial" w:hAnsi="Arial" w:cs="Arial"/>
          <w:sz w:val="20"/>
        </w:rPr>
        <w:t>opravce.</w:t>
      </w:r>
    </w:p>
    <w:p w14:paraId="5C228F1E" w14:textId="05FEB2C8" w:rsidR="004B3CDA" w:rsidRPr="004B3CDA" w:rsidRDefault="0049698F" w:rsidP="00927C8A">
      <w:pPr>
        <w:pStyle w:val="Odstavecseseznamem"/>
        <w:numPr>
          <w:ilvl w:val="1"/>
          <w:numId w:val="39"/>
        </w:numPr>
        <w:spacing w:before="0"/>
        <w:ind w:left="567" w:hanging="567"/>
        <w:contextualSpacing w:val="0"/>
        <w:rPr>
          <w:rFonts w:ascii="Arial" w:hAnsi="Arial" w:cs="Arial"/>
          <w:sz w:val="20"/>
        </w:rPr>
      </w:pPr>
      <w:r>
        <w:rPr>
          <w:rFonts w:ascii="Arial" w:hAnsi="Arial" w:cs="Arial"/>
          <w:sz w:val="20"/>
        </w:rPr>
        <w:t>S</w:t>
      </w:r>
      <w:r w:rsidR="00885094" w:rsidRPr="00885094">
        <w:rPr>
          <w:rFonts w:ascii="Arial" w:hAnsi="Arial" w:cs="Arial"/>
          <w:sz w:val="20"/>
        </w:rPr>
        <w:t>lužba</w:t>
      </w:r>
      <w:r w:rsidR="004B3CDA" w:rsidRPr="004B3CDA">
        <w:rPr>
          <w:rFonts w:ascii="Arial" w:hAnsi="Arial" w:cs="Arial"/>
          <w:sz w:val="20"/>
        </w:rPr>
        <w:t xml:space="preserve"> dodávek bude sledována a vyhodnocována zvlášť pro DC trakční soustavu a zvlášť pro AC trakční soustavu.</w:t>
      </w:r>
    </w:p>
    <w:p w14:paraId="76BFE058" w14:textId="64755812" w:rsidR="00885094" w:rsidRPr="00885094" w:rsidRDefault="00750C09" w:rsidP="00885094">
      <w:pPr>
        <w:pStyle w:val="Odstavecseseznamem"/>
        <w:spacing w:before="0"/>
        <w:ind w:left="567"/>
        <w:contextualSpacing w:val="0"/>
        <w:rPr>
          <w:rFonts w:ascii="Arial" w:hAnsi="Arial" w:cs="Arial"/>
          <w:sz w:val="20"/>
        </w:rPr>
      </w:pPr>
      <w:r>
        <w:rPr>
          <w:rFonts w:ascii="Arial" w:hAnsi="Arial" w:cs="Arial"/>
          <w:sz w:val="20"/>
        </w:rPr>
        <w:t xml:space="preserve">V této </w:t>
      </w:r>
      <w:r w:rsidR="00885094" w:rsidRPr="00885094">
        <w:rPr>
          <w:rFonts w:ascii="Arial" w:hAnsi="Arial" w:cs="Arial"/>
          <w:sz w:val="20"/>
        </w:rPr>
        <w:t>smlouv</w:t>
      </w:r>
      <w:r>
        <w:rPr>
          <w:rFonts w:ascii="Arial" w:hAnsi="Arial" w:cs="Arial"/>
          <w:sz w:val="20"/>
        </w:rPr>
        <w:t>ě</w:t>
      </w:r>
      <w:r w:rsidR="0049698F">
        <w:rPr>
          <w:rFonts w:ascii="Arial" w:hAnsi="Arial" w:cs="Arial"/>
          <w:sz w:val="20"/>
        </w:rPr>
        <w:t xml:space="preserve"> o dodávkách</w:t>
      </w:r>
      <w:r w:rsidR="00885094" w:rsidRPr="00885094">
        <w:rPr>
          <w:rFonts w:ascii="Arial" w:hAnsi="Arial" w:cs="Arial"/>
          <w:sz w:val="20"/>
        </w:rPr>
        <w:t xml:space="preserve"> </w:t>
      </w:r>
      <w:r>
        <w:rPr>
          <w:rFonts w:ascii="Arial" w:hAnsi="Arial" w:cs="Arial"/>
          <w:sz w:val="20"/>
        </w:rPr>
        <w:t xml:space="preserve">je </w:t>
      </w:r>
      <w:r w:rsidR="00885094" w:rsidRPr="00885094">
        <w:rPr>
          <w:rFonts w:ascii="Arial" w:hAnsi="Arial" w:cs="Arial"/>
          <w:sz w:val="20"/>
        </w:rPr>
        <w:t xml:space="preserve">detailně </w:t>
      </w:r>
      <w:r>
        <w:rPr>
          <w:rFonts w:ascii="Arial" w:hAnsi="Arial" w:cs="Arial"/>
          <w:sz w:val="20"/>
        </w:rPr>
        <w:t>rozlišován</w:t>
      </w:r>
      <w:r w:rsidR="0049698F">
        <w:rPr>
          <w:rFonts w:ascii="Arial" w:hAnsi="Arial" w:cs="Arial"/>
          <w:sz w:val="20"/>
        </w:rPr>
        <w:t xml:space="preserve"> </w:t>
      </w:r>
      <w:r w:rsidR="00885094" w:rsidRPr="00885094">
        <w:rPr>
          <w:rFonts w:ascii="Arial" w:hAnsi="Arial" w:cs="Arial"/>
          <w:sz w:val="20"/>
        </w:rPr>
        <w:t xml:space="preserve">měřený odběr, čímž se rozumí odběr naměřený pomocí EMS, a </w:t>
      </w:r>
      <w:r w:rsidR="002C3ADA">
        <w:rPr>
          <w:rFonts w:ascii="Arial" w:hAnsi="Arial" w:cs="Arial"/>
          <w:sz w:val="20"/>
        </w:rPr>
        <w:t>který</w:t>
      </w:r>
      <w:r w:rsidR="00885094" w:rsidRPr="00885094">
        <w:rPr>
          <w:rFonts w:ascii="Arial" w:hAnsi="Arial" w:cs="Arial"/>
          <w:sz w:val="20"/>
        </w:rPr>
        <w:t xml:space="preserve"> </w:t>
      </w:r>
      <w:r w:rsidR="0094169F">
        <w:rPr>
          <w:rFonts w:ascii="Arial" w:hAnsi="Arial" w:cs="Arial"/>
          <w:sz w:val="20"/>
        </w:rPr>
        <w:t xml:space="preserve">se </w:t>
      </w:r>
      <w:r w:rsidR="0049698F">
        <w:rPr>
          <w:rFonts w:ascii="Arial" w:hAnsi="Arial" w:cs="Arial"/>
          <w:sz w:val="20"/>
        </w:rPr>
        <w:t>bude zvyšovat</w:t>
      </w:r>
      <w:r w:rsidR="00885094" w:rsidRPr="00885094">
        <w:rPr>
          <w:rFonts w:ascii="Arial" w:hAnsi="Arial" w:cs="Arial"/>
          <w:sz w:val="20"/>
        </w:rPr>
        <w:t xml:space="preserve"> o koeficient technických ztrát v trakční soustavě, který</w:t>
      </w:r>
      <w:r w:rsidR="002C3ADA">
        <w:rPr>
          <w:rFonts w:ascii="Arial" w:hAnsi="Arial" w:cs="Arial"/>
          <w:sz w:val="20"/>
        </w:rPr>
        <w:t>žto odběr</w:t>
      </w:r>
      <w:r w:rsidR="00885094" w:rsidRPr="00885094">
        <w:rPr>
          <w:rFonts w:ascii="Arial" w:hAnsi="Arial" w:cs="Arial"/>
          <w:sz w:val="20"/>
        </w:rPr>
        <w:t xml:space="preserve"> bude sloužit pro výpočet účtované trakční elektrické energie. Týž princip bude užit i v případě výpočtu odebrané trakční elektrické energie pomocí koeficientů měrných spotřeb v případech předvídaných </w:t>
      </w:r>
      <w:r w:rsidR="00885094" w:rsidRPr="00885094">
        <w:rPr>
          <w:rFonts w:ascii="Arial" w:hAnsi="Arial" w:cs="Arial"/>
          <w:b/>
          <w:sz w:val="20"/>
        </w:rPr>
        <w:t xml:space="preserve">odstavcem </w:t>
      </w:r>
      <w:r w:rsidR="0094169F">
        <w:rPr>
          <w:rFonts w:ascii="Arial" w:hAnsi="Arial" w:cs="Arial"/>
          <w:b/>
          <w:sz w:val="20"/>
        </w:rPr>
        <w:t>1</w:t>
      </w:r>
      <w:r w:rsidR="00885094" w:rsidRPr="00885094">
        <w:rPr>
          <w:rFonts w:ascii="Arial" w:hAnsi="Arial" w:cs="Arial"/>
          <w:b/>
          <w:sz w:val="20"/>
        </w:rPr>
        <w:t>.3 písm. a), c) a d)</w:t>
      </w:r>
      <w:r w:rsidR="00885094" w:rsidRPr="00885094">
        <w:rPr>
          <w:rFonts w:ascii="Arial" w:hAnsi="Arial" w:cs="Arial"/>
          <w:sz w:val="20"/>
        </w:rPr>
        <w:t xml:space="preserve"> této </w:t>
      </w:r>
      <w:r w:rsidR="0094169F">
        <w:rPr>
          <w:rFonts w:ascii="Arial" w:hAnsi="Arial" w:cs="Arial"/>
          <w:sz w:val="20"/>
        </w:rPr>
        <w:t>přílohy</w:t>
      </w:r>
      <w:r w:rsidR="00885094" w:rsidRPr="00885094">
        <w:rPr>
          <w:rFonts w:ascii="Arial" w:hAnsi="Arial" w:cs="Arial"/>
          <w:sz w:val="20"/>
        </w:rPr>
        <w:t>, které</w:t>
      </w:r>
      <w:r w:rsidR="002C3ADA">
        <w:rPr>
          <w:rFonts w:ascii="Arial" w:hAnsi="Arial" w:cs="Arial"/>
          <w:sz w:val="20"/>
        </w:rPr>
        <w:t>žto odběry</w:t>
      </w:r>
      <w:r w:rsidR="00885094" w:rsidRPr="00885094">
        <w:rPr>
          <w:rFonts w:ascii="Arial" w:hAnsi="Arial" w:cs="Arial"/>
          <w:sz w:val="20"/>
        </w:rPr>
        <w:t xml:space="preserve"> budou opět navýšeny o koeficient technických ztrát.</w:t>
      </w:r>
    </w:p>
    <w:p w14:paraId="3A0E9139" w14:textId="77777777" w:rsidR="00885094" w:rsidRPr="00885094" w:rsidRDefault="00885094" w:rsidP="00885094">
      <w:pPr>
        <w:pStyle w:val="Odstavecseseznamem"/>
        <w:spacing w:before="0"/>
        <w:ind w:left="567"/>
        <w:contextualSpacing w:val="0"/>
        <w:rPr>
          <w:rFonts w:ascii="Arial" w:hAnsi="Arial" w:cs="Arial"/>
          <w:sz w:val="20"/>
        </w:rPr>
      </w:pPr>
      <w:r w:rsidRPr="00885094">
        <w:rPr>
          <w:rFonts w:ascii="Arial" w:hAnsi="Arial" w:cs="Arial"/>
          <w:sz w:val="20"/>
        </w:rPr>
        <w:t>S</w:t>
      </w:r>
      <w:r w:rsidR="002C3ADA">
        <w:rPr>
          <w:rFonts w:ascii="Arial" w:hAnsi="Arial" w:cs="Arial"/>
          <w:sz w:val="20"/>
        </w:rPr>
        <w:t>mluvní s</w:t>
      </w:r>
      <w:r w:rsidRPr="00885094">
        <w:rPr>
          <w:rFonts w:ascii="Arial" w:hAnsi="Arial" w:cs="Arial"/>
          <w:sz w:val="20"/>
        </w:rPr>
        <w:t xml:space="preserve">trany se rovněž dohodly, že velikost koeficientu technických ztrát v trakční soustavě bude určována pro DC trakční soustavu a AC trakční soustavu zvlášť. Hodnoty těchto ztrát budou určeny </w:t>
      </w:r>
      <w:r w:rsidR="002C3ADA">
        <w:rPr>
          <w:rFonts w:ascii="Arial" w:hAnsi="Arial" w:cs="Arial"/>
          <w:sz w:val="20"/>
        </w:rPr>
        <w:t>provozovatelem</w:t>
      </w:r>
      <w:r w:rsidRPr="00885094">
        <w:rPr>
          <w:rFonts w:ascii="Arial" w:hAnsi="Arial" w:cs="Arial"/>
          <w:sz w:val="20"/>
        </w:rPr>
        <w:t xml:space="preserve"> a následně ověřeny výpočtem na základě měření, přičemž obě </w:t>
      </w:r>
      <w:r w:rsidR="002C3ADA">
        <w:rPr>
          <w:rFonts w:ascii="Arial" w:hAnsi="Arial" w:cs="Arial"/>
          <w:sz w:val="20"/>
        </w:rPr>
        <w:t xml:space="preserve">smluvní strany </w:t>
      </w:r>
      <w:r w:rsidRPr="00885094">
        <w:rPr>
          <w:rFonts w:ascii="Arial" w:hAnsi="Arial" w:cs="Arial"/>
          <w:sz w:val="20"/>
        </w:rPr>
        <w:t xml:space="preserve">předpokládají jako vstupní hodnoty pro funkčnost hybridního modelu 18 % (slovy: osmnáct procent) pro DC trakční soustavu, a 9 % (slovy: devět procent) pro AC trakční soustavu. Tyto hodnoty se </w:t>
      </w:r>
      <w:r w:rsidR="002C3ADA">
        <w:rPr>
          <w:rFonts w:ascii="Arial" w:hAnsi="Arial" w:cs="Arial"/>
          <w:sz w:val="20"/>
        </w:rPr>
        <w:t>smluvní s</w:t>
      </w:r>
      <w:r w:rsidRPr="00885094">
        <w:rPr>
          <w:rFonts w:ascii="Arial" w:hAnsi="Arial" w:cs="Arial"/>
          <w:sz w:val="20"/>
        </w:rPr>
        <w:t>trany zavazují změnit bez zbytečného odkladu poté a tehdy, pokud bude prokázána jejich změna hodnověrným technickým výpočtem a doloženým měřením.</w:t>
      </w:r>
    </w:p>
    <w:p w14:paraId="5BE5F7EB" w14:textId="4030EA2F" w:rsidR="0052524B" w:rsidRDefault="00885094" w:rsidP="00885094">
      <w:pPr>
        <w:pStyle w:val="Odstavecseseznamem"/>
        <w:spacing w:before="0"/>
        <w:ind w:left="567"/>
        <w:contextualSpacing w:val="0"/>
        <w:rPr>
          <w:rFonts w:ascii="Arial" w:hAnsi="Arial" w:cs="Arial"/>
          <w:sz w:val="20"/>
        </w:rPr>
      </w:pPr>
      <w:r w:rsidRPr="00885094">
        <w:rPr>
          <w:rFonts w:ascii="Arial" w:hAnsi="Arial" w:cs="Arial"/>
          <w:sz w:val="20"/>
        </w:rPr>
        <w:t>S</w:t>
      </w:r>
      <w:r w:rsidR="002C3ADA">
        <w:rPr>
          <w:rFonts w:ascii="Arial" w:hAnsi="Arial" w:cs="Arial"/>
          <w:sz w:val="20"/>
        </w:rPr>
        <w:t>mluvní s</w:t>
      </w:r>
      <w:r w:rsidRPr="00885094">
        <w:rPr>
          <w:rFonts w:ascii="Arial" w:hAnsi="Arial" w:cs="Arial"/>
          <w:sz w:val="20"/>
        </w:rPr>
        <w:t xml:space="preserve">trany </w:t>
      </w:r>
      <w:r w:rsidR="00750C09">
        <w:rPr>
          <w:rFonts w:ascii="Arial" w:hAnsi="Arial" w:cs="Arial"/>
          <w:sz w:val="20"/>
        </w:rPr>
        <w:t>konstatují</w:t>
      </w:r>
      <w:r w:rsidRPr="00885094">
        <w:rPr>
          <w:rFonts w:ascii="Arial" w:hAnsi="Arial" w:cs="Arial"/>
          <w:sz w:val="20"/>
        </w:rPr>
        <w:t>, že pro případy předvídané v </w:t>
      </w:r>
      <w:r w:rsidRPr="00885094">
        <w:rPr>
          <w:rFonts w:ascii="Arial" w:hAnsi="Arial" w:cs="Arial"/>
          <w:b/>
          <w:sz w:val="20"/>
        </w:rPr>
        <w:t xml:space="preserve">odstavci </w:t>
      </w:r>
      <w:r w:rsidR="002C3ADA">
        <w:rPr>
          <w:rFonts w:ascii="Arial" w:hAnsi="Arial" w:cs="Arial"/>
          <w:b/>
          <w:sz w:val="20"/>
        </w:rPr>
        <w:t>1</w:t>
      </w:r>
      <w:r w:rsidRPr="00885094">
        <w:rPr>
          <w:rFonts w:ascii="Arial" w:hAnsi="Arial" w:cs="Arial"/>
          <w:b/>
          <w:sz w:val="20"/>
        </w:rPr>
        <w:t>.3 písm. a), c) a d)</w:t>
      </w:r>
      <w:r w:rsidRPr="00885094">
        <w:rPr>
          <w:rFonts w:ascii="Arial" w:hAnsi="Arial" w:cs="Arial"/>
          <w:sz w:val="20"/>
        </w:rPr>
        <w:t xml:space="preserve"> této </w:t>
      </w:r>
      <w:r w:rsidR="0052524B">
        <w:rPr>
          <w:rFonts w:ascii="Arial" w:hAnsi="Arial" w:cs="Arial"/>
          <w:sz w:val="20"/>
        </w:rPr>
        <w:t>přílohy</w:t>
      </w:r>
      <w:r w:rsidRPr="00885094">
        <w:rPr>
          <w:rFonts w:ascii="Arial" w:hAnsi="Arial" w:cs="Arial"/>
          <w:sz w:val="20"/>
        </w:rPr>
        <w:t xml:space="preserve"> </w:t>
      </w:r>
      <w:r w:rsidR="00750C09">
        <w:rPr>
          <w:rFonts w:ascii="Arial" w:hAnsi="Arial" w:cs="Arial"/>
          <w:sz w:val="20"/>
        </w:rPr>
        <w:t>byly</w:t>
      </w:r>
      <w:r w:rsidRPr="00885094">
        <w:rPr>
          <w:rFonts w:ascii="Arial" w:hAnsi="Arial" w:cs="Arial"/>
          <w:sz w:val="20"/>
        </w:rPr>
        <w:t xml:space="preserve"> pro první rok trvání </w:t>
      </w:r>
      <w:r w:rsidR="0052524B">
        <w:rPr>
          <w:rFonts w:ascii="Arial" w:hAnsi="Arial" w:cs="Arial"/>
          <w:sz w:val="20"/>
        </w:rPr>
        <w:t>této</w:t>
      </w:r>
      <w:r w:rsidRPr="00885094">
        <w:rPr>
          <w:rFonts w:ascii="Arial" w:hAnsi="Arial" w:cs="Arial"/>
          <w:sz w:val="20"/>
        </w:rPr>
        <w:t xml:space="preserve"> smlouvy </w:t>
      </w:r>
      <w:r w:rsidR="0052524B">
        <w:rPr>
          <w:rFonts w:ascii="Arial" w:hAnsi="Arial" w:cs="Arial"/>
          <w:sz w:val="20"/>
        </w:rPr>
        <w:t xml:space="preserve">o dodávkách </w:t>
      </w:r>
      <w:r w:rsidRPr="00885094">
        <w:rPr>
          <w:rFonts w:ascii="Arial" w:hAnsi="Arial" w:cs="Arial"/>
          <w:sz w:val="20"/>
        </w:rPr>
        <w:t xml:space="preserve">použity měrné spotřeby pro jednotlivé kategorie vlaků v takových hodnotách, </w:t>
      </w:r>
      <w:r w:rsidR="008419F1">
        <w:rPr>
          <w:rFonts w:ascii="Arial" w:hAnsi="Arial" w:cs="Arial"/>
          <w:sz w:val="20"/>
        </w:rPr>
        <w:t xml:space="preserve">které </w:t>
      </w:r>
      <w:r w:rsidR="00750C09">
        <w:rPr>
          <w:rFonts w:ascii="Arial" w:hAnsi="Arial" w:cs="Arial"/>
          <w:sz w:val="20"/>
        </w:rPr>
        <w:t>byly</w:t>
      </w:r>
      <w:r w:rsidR="008419F1">
        <w:rPr>
          <w:rFonts w:ascii="Arial" w:hAnsi="Arial" w:cs="Arial"/>
          <w:sz w:val="20"/>
        </w:rPr>
        <w:t xml:space="preserve"> stanoveny na základě analýzy dostupných dat získaných z EHV/EJ vybavených EMS</w:t>
      </w:r>
      <w:r w:rsidRPr="00885094">
        <w:rPr>
          <w:rFonts w:ascii="Arial" w:hAnsi="Arial" w:cs="Arial"/>
          <w:sz w:val="20"/>
        </w:rPr>
        <w:t>.</w:t>
      </w:r>
      <w:r w:rsidR="0052524B">
        <w:rPr>
          <w:rFonts w:ascii="Arial" w:hAnsi="Arial" w:cs="Arial"/>
          <w:sz w:val="20"/>
        </w:rPr>
        <w:t xml:space="preserve"> </w:t>
      </w:r>
    </w:p>
    <w:p w14:paraId="71CC3B1A" w14:textId="5B5CCE3B" w:rsidR="00B74971" w:rsidRDefault="00750C09" w:rsidP="00B74971">
      <w:pPr>
        <w:pStyle w:val="Odstavecseseznamem"/>
        <w:spacing w:before="0"/>
        <w:ind w:left="567"/>
        <w:contextualSpacing w:val="0"/>
        <w:rPr>
          <w:rFonts w:ascii="Arial" w:hAnsi="Arial" w:cs="Arial"/>
          <w:sz w:val="20"/>
        </w:rPr>
      </w:pPr>
      <w:r w:rsidRPr="00885094">
        <w:rPr>
          <w:rFonts w:ascii="Arial" w:hAnsi="Arial" w:cs="Arial"/>
          <w:sz w:val="20"/>
        </w:rPr>
        <w:t>S</w:t>
      </w:r>
      <w:r>
        <w:rPr>
          <w:rFonts w:ascii="Arial" w:hAnsi="Arial" w:cs="Arial"/>
          <w:sz w:val="20"/>
        </w:rPr>
        <w:t>mluvní s</w:t>
      </w:r>
      <w:r w:rsidRPr="00885094">
        <w:rPr>
          <w:rFonts w:ascii="Arial" w:hAnsi="Arial" w:cs="Arial"/>
          <w:sz w:val="20"/>
        </w:rPr>
        <w:t>trany se dohodly</w:t>
      </w:r>
      <w:r w:rsidR="00D06278">
        <w:rPr>
          <w:rFonts w:ascii="Arial" w:hAnsi="Arial" w:cs="Arial"/>
          <w:sz w:val="20"/>
        </w:rPr>
        <w:t>, že</w:t>
      </w:r>
      <w:r w:rsidR="00B74971">
        <w:rPr>
          <w:rFonts w:ascii="Arial" w:hAnsi="Arial" w:cs="Arial"/>
          <w:sz w:val="20"/>
        </w:rPr>
        <w:t xml:space="preserve"> hodnoty </w:t>
      </w:r>
      <w:r w:rsidR="00D06278">
        <w:rPr>
          <w:rFonts w:ascii="Arial" w:hAnsi="Arial" w:cs="Arial"/>
          <w:sz w:val="20"/>
        </w:rPr>
        <w:t xml:space="preserve">dle předchozího odstavce </w:t>
      </w:r>
      <w:r w:rsidR="00B74971">
        <w:rPr>
          <w:rFonts w:ascii="Arial" w:hAnsi="Arial" w:cs="Arial"/>
          <w:sz w:val="20"/>
        </w:rPr>
        <w:t xml:space="preserve">budou pro každý následující kalendářní rok </w:t>
      </w:r>
      <w:r w:rsidR="00D06278">
        <w:rPr>
          <w:rFonts w:ascii="Arial" w:hAnsi="Arial" w:cs="Arial"/>
          <w:sz w:val="20"/>
        </w:rPr>
        <w:t xml:space="preserve">účinnosti této smlouvy o dodávkách </w:t>
      </w:r>
      <w:r w:rsidR="00B74971">
        <w:rPr>
          <w:rFonts w:ascii="Arial" w:hAnsi="Arial" w:cs="Arial"/>
          <w:sz w:val="20"/>
        </w:rPr>
        <w:t>zpřesňovány</w:t>
      </w:r>
      <w:r w:rsidR="00D06278">
        <w:rPr>
          <w:rFonts w:ascii="Arial" w:hAnsi="Arial" w:cs="Arial"/>
          <w:sz w:val="20"/>
        </w:rPr>
        <w:t>,</w:t>
      </w:r>
      <w:r w:rsidR="00B74971">
        <w:rPr>
          <w:rFonts w:ascii="Arial" w:hAnsi="Arial" w:cs="Arial"/>
          <w:sz w:val="20"/>
        </w:rPr>
        <w:t xml:space="preserve"> a to opět na základě výsledků analýzy</w:t>
      </w:r>
      <w:r w:rsidR="00B74971" w:rsidRPr="00FB0000">
        <w:t xml:space="preserve"> </w:t>
      </w:r>
      <w:r w:rsidR="00B74971" w:rsidRPr="00FB0000">
        <w:rPr>
          <w:rFonts w:ascii="Arial" w:hAnsi="Arial" w:cs="Arial"/>
          <w:sz w:val="20"/>
        </w:rPr>
        <w:t>dostupných dat získaných z EHV/EJ vybavených EMS</w:t>
      </w:r>
      <w:r w:rsidR="00B74971">
        <w:rPr>
          <w:rFonts w:ascii="Arial" w:hAnsi="Arial" w:cs="Arial"/>
          <w:sz w:val="20"/>
        </w:rPr>
        <w:t>.</w:t>
      </w:r>
    </w:p>
    <w:p w14:paraId="34D96B82" w14:textId="2988AB71" w:rsidR="004B3CDA" w:rsidRPr="004B3CDA" w:rsidRDefault="004B3CDA" w:rsidP="00927C8A">
      <w:pPr>
        <w:pStyle w:val="Odstavecseseznamem"/>
        <w:numPr>
          <w:ilvl w:val="1"/>
          <w:numId w:val="39"/>
        </w:numPr>
        <w:spacing w:before="0"/>
        <w:ind w:left="567" w:hanging="567"/>
        <w:contextualSpacing w:val="0"/>
        <w:rPr>
          <w:rFonts w:ascii="Arial" w:hAnsi="Arial" w:cs="Arial"/>
          <w:sz w:val="20"/>
        </w:rPr>
      </w:pPr>
      <w:r w:rsidRPr="004B3CDA">
        <w:rPr>
          <w:rFonts w:ascii="Arial" w:hAnsi="Arial" w:cs="Arial"/>
          <w:sz w:val="20"/>
        </w:rPr>
        <w:lastRenderedPageBreak/>
        <w:t>Měrné spotřeby budou přepočteny na úroveň sběrače hnacího vozidla. Hodnoty budou stanoveny s rozlišením typu trakční soustavy, ročního období</w:t>
      </w:r>
      <w:r w:rsidR="00885094" w:rsidRPr="00885094">
        <w:rPr>
          <w:rFonts w:ascii="Arial" w:hAnsi="Arial" w:cs="Arial"/>
          <w:sz w:val="20"/>
        </w:rPr>
        <w:t xml:space="preserve"> a</w:t>
      </w:r>
      <w:r w:rsidRPr="004B3CDA">
        <w:rPr>
          <w:rFonts w:ascii="Arial" w:hAnsi="Arial" w:cs="Arial"/>
          <w:sz w:val="20"/>
        </w:rPr>
        <w:t xml:space="preserve"> kategorie vlaku.</w:t>
      </w:r>
    </w:p>
    <w:p w14:paraId="13FE2C80" w14:textId="602E0304" w:rsidR="004B3CDA" w:rsidRPr="004B3CDA" w:rsidRDefault="004B3CDA" w:rsidP="00927C8A">
      <w:pPr>
        <w:pStyle w:val="Odstavecseseznamem"/>
        <w:numPr>
          <w:ilvl w:val="1"/>
          <w:numId w:val="39"/>
        </w:numPr>
        <w:spacing w:before="0"/>
        <w:ind w:left="567" w:hanging="567"/>
        <w:contextualSpacing w:val="0"/>
        <w:rPr>
          <w:rFonts w:ascii="Arial" w:hAnsi="Arial" w:cs="Arial"/>
          <w:sz w:val="20"/>
        </w:rPr>
      </w:pPr>
      <w:r w:rsidRPr="004B3CDA">
        <w:rPr>
          <w:rFonts w:ascii="Arial" w:hAnsi="Arial" w:cs="Arial"/>
          <w:sz w:val="20"/>
        </w:rPr>
        <w:t>Přehled použitých koeficientů</w:t>
      </w:r>
      <w:r w:rsidR="00C55F0F">
        <w:rPr>
          <w:rFonts w:ascii="Arial" w:hAnsi="Arial" w:cs="Arial"/>
          <w:sz w:val="20"/>
        </w:rPr>
        <w:t xml:space="preserve"> v této příloze</w:t>
      </w:r>
    </w:p>
    <w:p w14:paraId="18FDEEEA" w14:textId="77777777" w:rsidR="004B3CDA" w:rsidRPr="004B3CDA" w:rsidRDefault="004B3CDA" w:rsidP="00927C8A">
      <w:pPr>
        <w:pStyle w:val="Odstavecseseznamem"/>
        <w:numPr>
          <w:ilvl w:val="0"/>
          <w:numId w:val="35"/>
        </w:numPr>
        <w:spacing w:before="0"/>
        <w:ind w:left="1134" w:hanging="567"/>
        <w:contextualSpacing w:val="0"/>
        <w:rPr>
          <w:rFonts w:ascii="Arial" w:hAnsi="Arial" w:cs="Arial"/>
          <w:sz w:val="20"/>
        </w:rPr>
      </w:pPr>
      <w:bookmarkStart w:id="14" w:name="_Hlk515286000"/>
      <w:r w:rsidRPr="004B3CDA">
        <w:rPr>
          <w:rFonts w:ascii="Arial" w:hAnsi="Arial" w:cs="Arial"/>
          <w:sz w:val="20"/>
        </w:rPr>
        <w:t>Koeficient „Vyrovnání bilance trakční soustavy“ včetně technických ztrát, rozlišení hodnoty podle druhu trakční soustavy (AC/DC), a</w:t>
      </w:r>
    </w:p>
    <w:p w14:paraId="60C33443" w14:textId="77777777" w:rsidR="004B3CDA" w:rsidRDefault="004B3CDA" w:rsidP="00927C8A">
      <w:pPr>
        <w:pStyle w:val="Odstavecseseznamem"/>
        <w:numPr>
          <w:ilvl w:val="0"/>
          <w:numId w:val="35"/>
        </w:numPr>
        <w:spacing w:before="0"/>
        <w:ind w:left="1134" w:hanging="567"/>
        <w:contextualSpacing w:val="0"/>
        <w:rPr>
          <w:rFonts w:ascii="Arial" w:hAnsi="Arial" w:cs="Arial"/>
          <w:sz w:val="20"/>
        </w:rPr>
      </w:pPr>
      <w:r w:rsidRPr="004B3CDA">
        <w:rPr>
          <w:rFonts w:ascii="Arial" w:hAnsi="Arial" w:cs="Arial"/>
          <w:sz w:val="20"/>
        </w:rPr>
        <w:t>Koeficient „Technologická spotřeba“ pouze pro neměřené vlaky ve výpočtu přes měrnou spotřebu.</w:t>
      </w:r>
      <w:bookmarkEnd w:id="13"/>
    </w:p>
    <w:bookmarkEnd w:id="14"/>
    <w:p w14:paraId="3BB8E374" w14:textId="77777777" w:rsidR="004B3CDA" w:rsidRDefault="004B3CDA" w:rsidP="00927C8A">
      <w:pPr>
        <w:spacing w:after="120"/>
        <w:jc w:val="both"/>
        <w:rPr>
          <w:rFonts w:ascii="Arial" w:hAnsi="Arial" w:cs="Arial"/>
          <w:sz w:val="20"/>
          <w:szCs w:val="20"/>
        </w:rPr>
      </w:pPr>
    </w:p>
    <w:p w14:paraId="65727EB0" w14:textId="62FBA375" w:rsidR="00304A89" w:rsidRPr="00304A89" w:rsidRDefault="00304A89" w:rsidP="00304A89">
      <w:pPr>
        <w:ind w:left="3" w:firstLine="1"/>
        <w:rPr>
          <w:rFonts w:ascii="Arial" w:hAnsi="Arial" w:cs="Arial"/>
          <w:sz w:val="20"/>
        </w:rPr>
      </w:pPr>
      <w:r>
        <w:rPr>
          <w:rFonts w:ascii="Arial" w:hAnsi="Arial" w:cs="Arial"/>
          <w:sz w:val="20"/>
        </w:rPr>
        <w:t xml:space="preserve">          </w:t>
      </w:r>
      <w:r w:rsidRPr="00304A89">
        <w:rPr>
          <w:rFonts w:ascii="Arial" w:hAnsi="Arial" w:cs="Arial"/>
          <w:sz w:val="20"/>
        </w:rPr>
        <w:t xml:space="preserve">Způsob výpočtu příslušné konečné </w:t>
      </w:r>
      <w:proofErr w:type="spellStart"/>
      <w:r w:rsidRPr="00304A89">
        <w:rPr>
          <w:rFonts w:ascii="Arial" w:hAnsi="Arial" w:cs="Arial"/>
          <w:sz w:val="20"/>
        </w:rPr>
        <w:t>MS</w:t>
      </w:r>
      <w:r w:rsidRPr="00304A89">
        <w:rPr>
          <w:rFonts w:ascii="Arial" w:hAnsi="Arial" w:cs="Arial"/>
          <w:sz w:val="20"/>
          <w:vertAlign w:val="subscript"/>
        </w:rPr>
        <w:t>k</w:t>
      </w:r>
      <w:proofErr w:type="spellEnd"/>
      <w:r w:rsidRPr="00304A89">
        <w:rPr>
          <w:rFonts w:ascii="Arial" w:hAnsi="Arial" w:cs="Arial"/>
          <w:sz w:val="20"/>
        </w:rPr>
        <w:t xml:space="preserve">:  </w:t>
      </w:r>
      <m:oMath>
        <m:sSub>
          <m:sSubPr>
            <m:ctrlPr>
              <w:rPr>
                <w:rFonts w:ascii="Cambria Math" w:hAnsi="Cambria Math" w:cs="Arial"/>
                <w:i/>
                <w:lang w:eastAsia="en-US"/>
              </w:rPr>
            </m:ctrlPr>
          </m:sSubPr>
          <m:e>
            <m:r>
              <w:rPr>
                <w:rFonts w:ascii="Cambria Math" w:hAnsi="Cambria Math" w:cs="Arial"/>
              </w:rPr>
              <m:t>MS</m:t>
            </m:r>
          </m:e>
          <m:sub>
            <m:r>
              <w:rPr>
                <w:rFonts w:ascii="Cambria Math" w:hAnsi="Cambria Math" w:cs="Arial"/>
              </w:rPr>
              <m:t>k</m:t>
            </m:r>
          </m:sub>
        </m:sSub>
        <m:r>
          <w:rPr>
            <w:rFonts w:ascii="Cambria Math" w:hAnsi="Cambria Math" w:cs="Arial"/>
          </w:rPr>
          <m:t xml:space="preserve">=MS× </m:t>
        </m:r>
        <m:sSub>
          <m:sSubPr>
            <m:ctrlPr>
              <w:rPr>
                <w:rFonts w:ascii="Cambria Math" w:hAnsi="Cambria Math" w:cs="Arial"/>
                <w:i/>
                <w:lang w:eastAsia="en-US"/>
              </w:rPr>
            </m:ctrlPr>
          </m:sSubPr>
          <m:e>
            <m:r>
              <w:rPr>
                <w:rFonts w:ascii="Cambria Math" w:hAnsi="Cambria Math" w:cs="Arial"/>
              </w:rPr>
              <m:t>k</m:t>
            </m:r>
          </m:e>
          <m:sub>
            <m:r>
              <w:rPr>
                <w:rFonts w:ascii="Cambria Math" w:hAnsi="Cambria Math" w:cs="Arial"/>
              </w:rPr>
              <m:t>r</m:t>
            </m:r>
          </m:sub>
        </m:sSub>
        <m:r>
          <w:rPr>
            <w:rFonts w:ascii="Cambria Math" w:hAnsi="Cambria Math" w:cs="Arial"/>
          </w:rPr>
          <m:t xml:space="preserve"> × </m:t>
        </m:r>
        <m:sSub>
          <m:sSubPr>
            <m:ctrlPr>
              <w:rPr>
                <w:rFonts w:ascii="Cambria Math" w:hAnsi="Cambria Math" w:cs="Arial"/>
                <w:i/>
                <w:lang w:eastAsia="en-US"/>
              </w:rPr>
            </m:ctrlPr>
          </m:sSubPr>
          <m:e>
            <m:r>
              <w:rPr>
                <w:rFonts w:ascii="Cambria Math" w:hAnsi="Cambria Math" w:cs="Arial"/>
              </w:rPr>
              <m:t>k</m:t>
            </m:r>
          </m:e>
          <m:sub>
            <m:r>
              <w:rPr>
                <w:rFonts w:ascii="Cambria Math" w:hAnsi="Cambria Math" w:cs="Arial"/>
              </w:rPr>
              <m:t>z</m:t>
            </m:r>
          </m:sub>
        </m:sSub>
        <m:r>
          <w:rPr>
            <w:rFonts w:ascii="Cambria Math" w:hAnsi="Cambria Math" w:cs="Arial"/>
          </w:rPr>
          <m:t xml:space="preserve"> × </m:t>
        </m:r>
        <m:sSub>
          <m:sSubPr>
            <m:ctrlPr>
              <w:rPr>
                <w:rFonts w:ascii="Cambria Math" w:hAnsi="Cambria Math" w:cs="Arial"/>
                <w:i/>
                <w:lang w:eastAsia="en-US"/>
              </w:rPr>
            </m:ctrlPr>
          </m:sSubPr>
          <m:e>
            <m:r>
              <w:rPr>
                <w:rFonts w:ascii="Cambria Math" w:hAnsi="Cambria Math" w:cs="Arial"/>
              </w:rPr>
              <m:t>k</m:t>
            </m:r>
          </m:e>
          <m:sub>
            <m:r>
              <w:rPr>
                <w:rFonts w:ascii="Cambria Math" w:hAnsi="Cambria Math" w:cs="Arial"/>
              </w:rPr>
              <m:t>t</m:t>
            </m:r>
          </m:sub>
        </m:sSub>
      </m:oMath>
    </w:p>
    <w:p w14:paraId="747316DA" w14:textId="77777777" w:rsidR="00304A89" w:rsidRDefault="00304A89" w:rsidP="00304A89">
      <w:pPr>
        <w:pStyle w:val="Odstavecseseznamem"/>
        <w:spacing w:before="0"/>
        <w:ind w:left="567"/>
        <w:rPr>
          <w:rFonts w:ascii="Arial" w:hAnsi="Arial" w:cs="Arial"/>
          <w:sz w:val="20"/>
        </w:rPr>
      </w:pPr>
    </w:p>
    <w:p w14:paraId="7E409F21" w14:textId="77777777" w:rsidR="00304A89" w:rsidRDefault="00304A89" w:rsidP="00304A89">
      <w:pPr>
        <w:pStyle w:val="Odstavecseseznamem"/>
        <w:spacing w:before="0"/>
        <w:ind w:left="567"/>
        <w:rPr>
          <w:rFonts w:ascii="Arial" w:hAnsi="Arial" w:cs="Arial"/>
          <w:sz w:val="20"/>
        </w:rPr>
      </w:pPr>
      <w:r>
        <w:rPr>
          <w:rFonts w:ascii="Arial" w:hAnsi="Arial" w:cs="Arial"/>
          <w:sz w:val="20"/>
        </w:rPr>
        <w:t>Přehled měrných spotřeb a koeficientů:</w:t>
      </w:r>
    </w:p>
    <w:p w14:paraId="1025B199" w14:textId="77777777" w:rsidR="00304A89" w:rsidRDefault="00304A89" w:rsidP="00304A89">
      <w:pPr>
        <w:rPr>
          <w:rFonts w:ascii="Arial" w:hAnsi="Arial" w:cs="Arial"/>
          <w:sz w:val="20"/>
        </w:rPr>
      </w:pPr>
    </w:p>
    <w:tbl>
      <w:tblPr>
        <w:tblW w:w="9860" w:type="dxa"/>
        <w:tblInd w:w="55" w:type="dxa"/>
        <w:tblCellMar>
          <w:left w:w="70" w:type="dxa"/>
          <w:right w:w="70" w:type="dxa"/>
        </w:tblCellMar>
        <w:tblLook w:val="04A0" w:firstRow="1" w:lastRow="0" w:firstColumn="1" w:lastColumn="0" w:noHBand="0" w:noVBand="1"/>
      </w:tblPr>
      <w:tblGrid>
        <w:gridCol w:w="4720"/>
        <w:gridCol w:w="1660"/>
        <w:gridCol w:w="160"/>
        <w:gridCol w:w="840"/>
        <w:gridCol w:w="840"/>
        <w:gridCol w:w="760"/>
        <w:gridCol w:w="880"/>
      </w:tblGrid>
      <w:tr w:rsidR="00304A89" w14:paraId="0D50A6DF" w14:textId="77777777" w:rsidTr="00435BA6">
        <w:trPr>
          <w:trHeight w:val="276"/>
        </w:trPr>
        <w:tc>
          <w:tcPr>
            <w:tcW w:w="4720" w:type="dxa"/>
            <w:noWrap/>
            <w:vAlign w:val="bottom"/>
            <w:hideMark/>
          </w:tcPr>
          <w:p w14:paraId="111AF0C2" w14:textId="77777777" w:rsidR="00304A89" w:rsidRDefault="00304A89">
            <w:pPr>
              <w:rPr>
                <w:rFonts w:ascii="Verdana" w:hAnsi="Verdana"/>
                <w:b/>
                <w:bCs/>
                <w:color w:val="000000"/>
                <w:sz w:val="16"/>
                <w:szCs w:val="16"/>
              </w:rPr>
            </w:pPr>
            <w:r>
              <w:rPr>
                <w:rFonts w:ascii="Verdana" w:hAnsi="Verdana"/>
                <w:b/>
                <w:bCs/>
                <w:color w:val="000000"/>
                <w:sz w:val="16"/>
                <w:szCs w:val="16"/>
              </w:rPr>
              <w:t>Střídavá trakční soustava</w:t>
            </w:r>
          </w:p>
        </w:tc>
        <w:tc>
          <w:tcPr>
            <w:tcW w:w="1660" w:type="dxa"/>
            <w:noWrap/>
            <w:vAlign w:val="bottom"/>
            <w:hideMark/>
          </w:tcPr>
          <w:p w14:paraId="51930277" w14:textId="77777777" w:rsidR="00304A89" w:rsidRDefault="00304A89">
            <w:pPr>
              <w:rPr>
                <w:sz w:val="20"/>
                <w:szCs w:val="20"/>
              </w:rPr>
            </w:pPr>
          </w:p>
        </w:tc>
        <w:tc>
          <w:tcPr>
            <w:tcW w:w="160" w:type="dxa"/>
            <w:noWrap/>
            <w:vAlign w:val="bottom"/>
            <w:hideMark/>
          </w:tcPr>
          <w:p w14:paraId="0FD26DB8" w14:textId="77777777" w:rsidR="00304A89" w:rsidRDefault="00304A89">
            <w:pPr>
              <w:rPr>
                <w:sz w:val="20"/>
                <w:szCs w:val="20"/>
              </w:rPr>
            </w:pPr>
          </w:p>
        </w:tc>
        <w:tc>
          <w:tcPr>
            <w:tcW w:w="840" w:type="dxa"/>
            <w:noWrap/>
            <w:vAlign w:val="bottom"/>
            <w:hideMark/>
          </w:tcPr>
          <w:p w14:paraId="16C7E132" w14:textId="77777777" w:rsidR="00304A89" w:rsidRDefault="00304A89">
            <w:pPr>
              <w:rPr>
                <w:sz w:val="20"/>
                <w:szCs w:val="20"/>
              </w:rPr>
            </w:pPr>
          </w:p>
        </w:tc>
        <w:tc>
          <w:tcPr>
            <w:tcW w:w="840" w:type="dxa"/>
            <w:noWrap/>
            <w:vAlign w:val="bottom"/>
            <w:hideMark/>
          </w:tcPr>
          <w:p w14:paraId="0D16FB3B" w14:textId="77777777" w:rsidR="00304A89" w:rsidRDefault="00304A89">
            <w:pPr>
              <w:rPr>
                <w:sz w:val="20"/>
                <w:szCs w:val="20"/>
              </w:rPr>
            </w:pPr>
          </w:p>
        </w:tc>
        <w:tc>
          <w:tcPr>
            <w:tcW w:w="760" w:type="dxa"/>
            <w:noWrap/>
            <w:vAlign w:val="bottom"/>
            <w:hideMark/>
          </w:tcPr>
          <w:p w14:paraId="45B0C586" w14:textId="77777777" w:rsidR="00304A89" w:rsidRDefault="00304A89">
            <w:pPr>
              <w:rPr>
                <w:sz w:val="20"/>
                <w:szCs w:val="20"/>
              </w:rPr>
            </w:pPr>
          </w:p>
        </w:tc>
        <w:tc>
          <w:tcPr>
            <w:tcW w:w="880" w:type="dxa"/>
            <w:noWrap/>
            <w:vAlign w:val="bottom"/>
            <w:hideMark/>
          </w:tcPr>
          <w:p w14:paraId="29967D46" w14:textId="77777777" w:rsidR="00304A89" w:rsidRDefault="00304A89">
            <w:pPr>
              <w:rPr>
                <w:sz w:val="20"/>
                <w:szCs w:val="20"/>
              </w:rPr>
            </w:pPr>
          </w:p>
        </w:tc>
      </w:tr>
      <w:tr w:rsidR="00304A89" w14:paraId="52CC0799" w14:textId="77777777" w:rsidTr="00435BA6">
        <w:trPr>
          <w:trHeight w:val="276"/>
        </w:trPr>
        <w:tc>
          <w:tcPr>
            <w:tcW w:w="4720" w:type="dxa"/>
            <w:noWrap/>
            <w:vAlign w:val="bottom"/>
            <w:hideMark/>
          </w:tcPr>
          <w:p w14:paraId="6A1E7494" w14:textId="77777777" w:rsidR="00304A89" w:rsidRDefault="00304A89">
            <w:pPr>
              <w:rPr>
                <w:sz w:val="20"/>
                <w:szCs w:val="20"/>
              </w:rPr>
            </w:pPr>
          </w:p>
        </w:tc>
        <w:tc>
          <w:tcPr>
            <w:tcW w:w="1660" w:type="dxa"/>
            <w:noWrap/>
            <w:vAlign w:val="bottom"/>
            <w:hideMark/>
          </w:tcPr>
          <w:p w14:paraId="2D6B3B1E" w14:textId="77777777" w:rsidR="00304A89" w:rsidRDefault="00304A89">
            <w:pPr>
              <w:rPr>
                <w:sz w:val="20"/>
                <w:szCs w:val="20"/>
              </w:rPr>
            </w:pPr>
          </w:p>
        </w:tc>
        <w:tc>
          <w:tcPr>
            <w:tcW w:w="160" w:type="dxa"/>
            <w:noWrap/>
            <w:vAlign w:val="bottom"/>
            <w:hideMark/>
          </w:tcPr>
          <w:p w14:paraId="05C7B037" w14:textId="77777777" w:rsidR="00304A89" w:rsidRDefault="00304A89">
            <w:pPr>
              <w:rPr>
                <w:sz w:val="20"/>
                <w:szCs w:val="20"/>
              </w:rPr>
            </w:pPr>
          </w:p>
        </w:tc>
        <w:tc>
          <w:tcPr>
            <w:tcW w:w="3320" w:type="dxa"/>
            <w:gridSpan w:val="4"/>
            <w:noWrap/>
            <w:vAlign w:val="bottom"/>
            <w:hideMark/>
          </w:tcPr>
          <w:p w14:paraId="58BFD7F0" w14:textId="77777777" w:rsidR="00304A89" w:rsidRDefault="00304A89">
            <w:pPr>
              <w:rPr>
                <w:rFonts w:ascii="Verdana" w:hAnsi="Verdana"/>
                <w:color w:val="000000"/>
                <w:sz w:val="16"/>
                <w:szCs w:val="16"/>
              </w:rPr>
            </w:pPr>
            <w:r>
              <w:rPr>
                <w:rFonts w:ascii="Verdana" w:hAnsi="Verdana"/>
                <w:color w:val="000000"/>
                <w:sz w:val="16"/>
                <w:szCs w:val="16"/>
              </w:rPr>
              <w:t xml:space="preserve">Koeficienty ročního období - </w:t>
            </w:r>
            <w:proofErr w:type="spellStart"/>
            <w:r>
              <w:rPr>
                <w:rFonts w:ascii="Verdana" w:hAnsi="Verdana"/>
                <w:color w:val="000000"/>
                <w:sz w:val="16"/>
                <w:szCs w:val="16"/>
              </w:rPr>
              <w:t>k</w:t>
            </w:r>
            <w:r>
              <w:rPr>
                <w:rFonts w:ascii="Verdana" w:hAnsi="Verdana"/>
                <w:color w:val="000000"/>
                <w:sz w:val="16"/>
                <w:szCs w:val="16"/>
                <w:vertAlign w:val="subscript"/>
              </w:rPr>
              <w:t>r</w:t>
            </w:r>
            <w:proofErr w:type="spellEnd"/>
          </w:p>
        </w:tc>
      </w:tr>
      <w:tr w:rsidR="00304A89" w14:paraId="3318FF19" w14:textId="77777777" w:rsidTr="00435BA6">
        <w:trPr>
          <w:trHeight w:val="288"/>
        </w:trPr>
        <w:tc>
          <w:tcPr>
            <w:tcW w:w="4720" w:type="dxa"/>
            <w:noWrap/>
            <w:vAlign w:val="bottom"/>
            <w:hideMark/>
          </w:tcPr>
          <w:p w14:paraId="784C6A9F" w14:textId="77777777" w:rsidR="00304A89" w:rsidRDefault="00304A89">
            <w:pPr>
              <w:rPr>
                <w:rFonts w:ascii="Verdana" w:hAnsi="Verdana"/>
                <w:color w:val="000000"/>
                <w:sz w:val="16"/>
                <w:szCs w:val="16"/>
              </w:rPr>
            </w:pPr>
            <w:r>
              <w:rPr>
                <w:rFonts w:ascii="Verdana" w:hAnsi="Verdana"/>
                <w:color w:val="000000"/>
                <w:sz w:val="16"/>
                <w:szCs w:val="16"/>
              </w:rPr>
              <w:t>Měrné spotřeby - MS</w:t>
            </w:r>
          </w:p>
        </w:tc>
        <w:tc>
          <w:tcPr>
            <w:tcW w:w="1660" w:type="dxa"/>
            <w:noWrap/>
            <w:vAlign w:val="bottom"/>
            <w:hideMark/>
          </w:tcPr>
          <w:p w14:paraId="26A34123" w14:textId="77777777" w:rsidR="00304A89" w:rsidRDefault="00304A89">
            <w:pPr>
              <w:rPr>
                <w:sz w:val="20"/>
                <w:szCs w:val="20"/>
              </w:rPr>
            </w:pPr>
          </w:p>
        </w:tc>
        <w:tc>
          <w:tcPr>
            <w:tcW w:w="160" w:type="dxa"/>
            <w:noWrap/>
            <w:vAlign w:val="bottom"/>
            <w:hideMark/>
          </w:tcPr>
          <w:p w14:paraId="60069A6E" w14:textId="77777777" w:rsidR="00304A89" w:rsidRDefault="00304A89">
            <w:pPr>
              <w:rPr>
                <w:sz w:val="20"/>
                <w:szCs w:val="20"/>
              </w:rPr>
            </w:pPr>
          </w:p>
        </w:tc>
        <w:tc>
          <w:tcPr>
            <w:tcW w:w="840" w:type="dxa"/>
            <w:noWrap/>
            <w:vAlign w:val="bottom"/>
            <w:hideMark/>
          </w:tcPr>
          <w:p w14:paraId="785F4912" w14:textId="77777777" w:rsidR="00304A89" w:rsidRDefault="00304A89">
            <w:pPr>
              <w:rPr>
                <w:sz w:val="20"/>
                <w:szCs w:val="20"/>
              </w:rPr>
            </w:pPr>
          </w:p>
        </w:tc>
        <w:tc>
          <w:tcPr>
            <w:tcW w:w="840" w:type="dxa"/>
            <w:noWrap/>
            <w:vAlign w:val="bottom"/>
            <w:hideMark/>
          </w:tcPr>
          <w:p w14:paraId="7A8332F1" w14:textId="77777777" w:rsidR="00304A89" w:rsidRDefault="00304A89">
            <w:pPr>
              <w:rPr>
                <w:sz w:val="20"/>
                <w:szCs w:val="20"/>
              </w:rPr>
            </w:pPr>
          </w:p>
        </w:tc>
        <w:tc>
          <w:tcPr>
            <w:tcW w:w="760" w:type="dxa"/>
            <w:noWrap/>
            <w:vAlign w:val="bottom"/>
            <w:hideMark/>
          </w:tcPr>
          <w:p w14:paraId="16464E0D" w14:textId="77777777" w:rsidR="00304A89" w:rsidRDefault="00304A89">
            <w:pPr>
              <w:rPr>
                <w:sz w:val="20"/>
                <w:szCs w:val="20"/>
              </w:rPr>
            </w:pPr>
          </w:p>
        </w:tc>
        <w:tc>
          <w:tcPr>
            <w:tcW w:w="880" w:type="dxa"/>
            <w:noWrap/>
            <w:vAlign w:val="bottom"/>
            <w:hideMark/>
          </w:tcPr>
          <w:p w14:paraId="222CFE00" w14:textId="77777777" w:rsidR="00304A89" w:rsidRDefault="00304A89">
            <w:pPr>
              <w:rPr>
                <w:sz w:val="20"/>
                <w:szCs w:val="20"/>
              </w:rPr>
            </w:pPr>
          </w:p>
        </w:tc>
      </w:tr>
      <w:tr w:rsidR="00304A89" w14:paraId="43921CEF" w14:textId="77777777" w:rsidTr="00435BA6">
        <w:trPr>
          <w:trHeight w:val="288"/>
        </w:trPr>
        <w:tc>
          <w:tcPr>
            <w:tcW w:w="4720" w:type="dxa"/>
            <w:noWrap/>
            <w:vAlign w:val="bottom"/>
            <w:hideMark/>
          </w:tcPr>
          <w:p w14:paraId="60FF254B" w14:textId="77777777" w:rsidR="00304A89" w:rsidRDefault="00304A89">
            <w:pPr>
              <w:rPr>
                <w:sz w:val="20"/>
                <w:szCs w:val="20"/>
              </w:rPr>
            </w:pPr>
          </w:p>
        </w:tc>
        <w:tc>
          <w:tcPr>
            <w:tcW w:w="1660" w:type="dxa"/>
            <w:noWrap/>
            <w:vAlign w:val="bottom"/>
            <w:hideMark/>
          </w:tcPr>
          <w:p w14:paraId="37468577" w14:textId="77777777" w:rsidR="00304A89" w:rsidRDefault="00304A89">
            <w:pPr>
              <w:rPr>
                <w:sz w:val="20"/>
                <w:szCs w:val="20"/>
              </w:rPr>
            </w:pPr>
          </w:p>
        </w:tc>
        <w:tc>
          <w:tcPr>
            <w:tcW w:w="160" w:type="dxa"/>
            <w:noWrap/>
            <w:vAlign w:val="bottom"/>
            <w:hideMark/>
          </w:tcPr>
          <w:p w14:paraId="277AEA31" w14:textId="77777777" w:rsidR="00304A89" w:rsidRDefault="00304A89">
            <w:pPr>
              <w:rPr>
                <w:sz w:val="20"/>
                <w:szCs w:val="20"/>
              </w:rPr>
            </w:pPr>
          </w:p>
        </w:tc>
        <w:tc>
          <w:tcPr>
            <w:tcW w:w="3320" w:type="dxa"/>
            <w:gridSpan w:val="4"/>
            <w:tcBorders>
              <w:top w:val="single" w:sz="8" w:space="0" w:color="auto"/>
              <w:left w:val="single" w:sz="8" w:space="0" w:color="auto"/>
              <w:bottom w:val="single" w:sz="4" w:space="0" w:color="auto"/>
              <w:right w:val="single" w:sz="8" w:space="0" w:color="000000"/>
            </w:tcBorders>
            <w:noWrap/>
            <w:vAlign w:val="bottom"/>
            <w:hideMark/>
          </w:tcPr>
          <w:p w14:paraId="317729FA" w14:textId="77777777" w:rsidR="00304A89" w:rsidRDefault="00304A89">
            <w:pPr>
              <w:jc w:val="center"/>
              <w:rPr>
                <w:rFonts w:ascii="Verdana" w:hAnsi="Verdana"/>
                <w:color w:val="000000"/>
                <w:sz w:val="16"/>
                <w:szCs w:val="16"/>
              </w:rPr>
            </w:pPr>
            <w:r>
              <w:rPr>
                <w:rFonts w:ascii="Verdana" w:hAnsi="Verdana"/>
                <w:color w:val="000000"/>
                <w:sz w:val="16"/>
                <w:szCs w:val="16"/>
              </w:rPr>
              <w:t>Měsíce</w:t>
            </w:r>
          </w:p>
        </w:tc>
      </w:tr>
      <w:tr w:rsidR="00304A89" w14:paraId="0145E294" w14:textId="77777777" w:rsidTr="00435BA6">
        <w:trPr>
          <w:trHeight w:val="420"/>
        </w:trPr>
        <w:tc>
          <w:tcPr>
            <w:tcW w:w="4720" w:type="dxa"/>
            <w:tcBorders>
              <w:top w:val="single" w:sz="8" w:space="0" w:color="auto"/>
              <w:left w:val="single" w:sz="8" w:space="0" w:color="auto"/>
              <w:bottom w:val="single" w:sz="4" w:space="0" w:color="auto"/>
              <w:right w:val="single" w:sz="4" w:space="0" w:color="auto"/>
            </w:tcBorders>
            <w:noWrap/>
            <w:vAlign w:val="bottom"/>
            <w:hideMark/>
          </w:tcPr>
          <w:p w14:paraId="576CD0BE" w14:textId="77777777" w:rsidR="00304A89" w:rsidRDefault="00304A89">
            <w:pPr>
              <w:rPr>
                <w:rFonts w:ascii="Verdana" w:hAnsi="Verdana"/>
                <w:color w:val="000000"/>
                <w:sz w:val="16"/>
                <w:szCs w:val="16"/>
              </w:rPr>
            </w:pPr>
            <w:r>
              <w:rPr>
                <w:rFonts w:ascii="Verdana" w:hAnsi="Verdana"/>
                <w:color w:val="000000"/>
                <w:sz w:val="16"/>
                <w:szCs w:val="16"/>
              </w:rPr>
              <w:t>Typ vlaku</w:t>
            </w:r>
          </w:p>
        </w:tc>
        <w:tc>
          <w:tcPr>
            <w:tcW w:w="1660" w:type="dxa"/>
            <w:tcBorders>
              <w:top w:val="single" w:sz="8" w:space="0" w:color="auto"/>
              <w:left w:val="nil"/>
              <w:bottom w:val="single" w:sz="4" w:space="0" w:color="auto"/>
              <w:right w:val="single" w:sz="8" w:space="0" w:color="auto"/>
            </w:tcBorders>
            <w:vAlign w:val="bottom"/>
            <w:hideMark/>
          </w:tcPr>
          <w:p w14:paraId="0490F3A6" w14:textId="77777777" w:rsidR="00304A89" w:rsidRDefault="00304A89">
            <w:pPr>
              <w:rPr>
                <w:rFonts w:ascii="Verdana" w:hAnsi="Verdana"/>
                <w:color w:val="000000"/>
                <w:sz w:val="16"/>
                <w:szCs w:val="16"/>
              </w:rPr>
            </w:pPr>
            <w:r>
              <w:rPr>
                <w:rFonts w:ascii="Verdana" w:hAnsi="Verdana"/>
                <w:color w:val="000000"/>
                <w:sz w:val="16"/>
                <w:szCs w:val="16"/>
              </w:rPr>
              <w:t xml:space="preserve">Měrná spotřeba EE [kWh/tis. </w:t>
            </w:r>
            <w:proofErr w:type="spellStart"/>
            <w:r>
              <w:rPr>
                <w:rFonts w:ascii="Verdana" w:hAnsi="Verdana"/>
                <w:color w:val="000000"/>
                <w:sz w:val="16"/>
                <w:szCs w:val="16"/>
              </w:rPr>
              <w:t>hrtkm</w:t>
            </w:r>
            <w:proofErr w:type="spellEnd"/>
            <w:r>
              <w:rPr>
                <w:rFonts w:ascii="Verdana" w:hAnsi="Verdana"/>
                <w:color w:val="000000"/>
                <w:sz w:val="16"/>
                <w:szCs w:val="16"/>
              </w:rPr>
              <w:t>]</w:t>
            </w:r>
          </w:p>
        </w:tc>
        <w:tc>
          <w:tcPr>
            <w:tcW w:w="160" w:type="dxa"/>
            <w:noWrap/>
            <w:vAlign w:val="bottom"/>
            <w:hideMark/>
          </w:tcPr>
          <w:p w14:paraId="47DFECFD" w14:textId="77777777" w:rsidR="00304A89" w:rsidRDefault="00304A89">
            <w:pPr>
              <w:rPr>
                <w:sz w:val="20"/>
                <w:szCs w:val="20"/>
              </w:rPr>
            </w:pPr>
          </w:p>
        </w:tc>
        <w:tc>
          <w:tcPr>
            <w:tcW w:w="840" w:type="dxa"/>
            <w:tcBorders>
              <w:top w:val="nil"/>
              <w:left w:val="single" w:sz="8" w:space="0" w:color="auto"/>
              <w:bottom w:val="single" w:sz="4" w:space="0" w:color="auto"/>
              <w:right w:val="single" w:sz="4" w:space="0" w:color="auto"/>
            </w:tcBorders>
            <w:vAlign w:val="bottom"/>
            <w:hideMark/>
          </w:tcPr>
          <w:p w14:paraId="74937CE6" w14:textId="77777777" w:rsidR="00304A89" w:rsidRDefault="00304A89">
            <w:pPr>
              <w:rPr>
                <w:rFonts w:ascii="Verdana" w:hAnsi="Verdana"/>
                <w:color w:val="000000"/>
                <w:sz w:val="16"/>
                <w:szCs w:val="16"/>
              </w:rPr>
            </w:pPr>
            <w:r>
              <w:rPr>
                <w:rFonts w:ascii="Verdana" w:hAnsi="Verdana"/>
                <w:color w:val="000000"/>
                <w:sz w:val="16"/>
                <w:szCs w:val="16"/>
              </w:rPr>
              <w:t>prosinec - únor</w:t>
            </w:r>
          </w:p>
        </w:tc>
        <w:tc>
          <w:tcPr>
            <w:tcW w:w="840" w:type="dxa"/>
            <w:tcBorders>
              <w:top w:val="nil"/>
              <w:left w:val="nil"/>
              <w:bottom w:val="single" w:sz="4" w:space="0" w:color="auto"/>
              <w:right w:val="single" w:sz="4" w:space="0" w:color="auto"/>
            </w:tcBorders>
            <w:vAlign w:val="bottom"/>
            <w:hideMark/>
          </w:tcPr>
          <w:p w14:paraId="592B7F56" w14:textId="77777777" w:rsidR="00304A89" w:rsidRDefault="00304A89">
            <w:pPr>
              <w:rPr>
                <w:rFonts w:ascii="Verdana" w:hAnsi="Verdana"/>
                <w:color w:val="000000"/>
                <w:sz w:val="16"/>
                <w:szCs w:val="16"/>
              </w:rPr>
            </w:pPr>
            <w:r>
              <w:rPr>
                <w:rFonts w:ascii="Verdana" w:hAnsi="Verdana"/>
                <w:color w:val="000000"/>
                <w:sz w:val="16"/>
                <w:szCs w:val="16"/>
              </w:rPr>
              <w:t>březen - květen</w:t>
            </w:r>
          </w:p>
        </w:tc>
        <w:tc>
          <w:tcPr>
            <w:tcW w:w="760" w:type="dxa"/>
            <w:tcBorders>
              <w:top w:val="nil"/>
              <w:left w:val="nil"/>
              <w:bottom w:val="single" w:sz="4" w:space="0" w:color="auto"/>
              <w:right w:val="single" w:sz="4" w:space="0" w:color="auto"/>
            </w:tcBorders>
            <w:vAlign w:val="bottom"/>
            <w:hideMark/>
          </w:tcPr>
          <w:p w14:paraId="74C0E2C7" w14:textId="77777777" w:rsidR="00304A89" w:rsidRDefault="00304A89">
            <w:pPr>
              <w:rPr>
                <w:rFonts w:ascii="Verdana" w:hAnsi="Verdana"/>
                <w:color w:val="000000"/>
                <w:sz w:val="16"/>
                <w:szCs w:val="16"/>
              </w:rPr>
            </w:pPr>
            <w:r>
              <w:rPr>
                <w:rFonts w:ascii="Verdana" w:hAnsi="Verdana"/>
                <w:color w:val="000000"/>
                <w:sz w:val="16"/>
                <w:szCs w:val="16"/>
              </w:rPr>
              <w:t>červen - srpen</w:t>
            </w:r>
          </w:p>
        </w:tc>
        <w:tc>
          <w:tcPr>
            <w:tcW w:w="880" w:type="dxa"/>
            <w:tcBorders>
              <w:top w:val="nil"/>
              <w:left w:val="nil"/>
              <w:bottom w:val="single" w:sz="4" w:space="0" w:color="auto"/>
              <w:right w:val="single" w:sz="8" w:space="0" w:color="auto"/>
            </w:tcBorders>
            <w:vAlign w:val="bottom"/>
            <w:hideMark/>
          </w:tcPr>
          <w:p w14:paraId="26C8D2A6" w14:textId="77777777" w:rsidR="00304A89" w:rsidRDefault="00304A89">
            <w:pPr>
              <w:rPr>
                <w:rFonts w:ascii="Verdana" w:hAnsi="Verdana"/>
                <w:color w:val="000000"/>
                <w:sz w:val="16"/>
                <w:szCs w:val="16"/>
              </w:rPr>
            </w:pPr>
            <w:r>
              <w:rPr>
                <w:rFonts w:ascii="Verdana" w:hAnsi="Verdana"/>
                <w:color w:val="000000"/>
                <w:sz w:val="16"/>
                <w:szCs w:val="16"/>
              </w:rPr>
              <w:t>září - listopad</w:t>
            </w:r>
          </w:p>
        </w:tc>
      </w:tr>
      <w:tr w:rsidR="00304A89" w14:paraId="7460953E" w14:textId="77777777" w:rsidTr="00435BA6">
        <w:trPr>
          <w:trHeight w:val="276"/>
        </w:trPr>
        <w:tc>
          <w:tcPr>
            <w:tcW w:w="4720" w:type="dxa"/>
            <w:tcBorders>
              <w:top w:val="nil"/>
              <w:left w:val="single" w:sz="8" w:space="0" w:color="auto"/>
              <w:bottom w:val="single" w:sz="4" w:space="0" w:color="auto"/>
              <w:right w:val="single" w:sz="4" w:space="0" w:color="auto"/>
            </w:tcBorders>
            <w:noWrap/>
            <w:vAlign w:val="bottom"/>
            <w:hideMark/>
          </w:tcPr>
          <w:p w14:paraId="71120B0C" w14:textId="77777777" w:rsidR="00304A89" w:rsidRDefault="00304A89">
            <w:pPr>
              <w:rPr>
                <w:rFonts w:ascii="Verdana" w:hAnsi="Verdana"/>
                <w:color w:val="000000"/>
                <w:sz w:val="16"/>
                <w:szCs w:val="16"/>
              </w:rPr>
            </w:pPr>
            <w:r>
              <w:rPr>
                <w:rFonts w:ascii="Verdana" w:hAnsi="Verdana"/>
                <w:color w:val="000000"/>
                <w:sz w:val="16"/>
                <w:szCs w:val="16"/>
              </w:rPr>
              <w:t xml:space="preserve">Vlaky Ex a R (SC, EC, IC, Ex, R, </w:t>
            </w:r>
            <w:proofErr w:type="spellStart"/>
            <w:r>
              <w:rPr>
                <w:rFonts w:ascii="Verdana" w:hAnsi="Verdana"/>
                <w:color w:val="000000"/>
                <w:sz w:val="16"/>
                <w:szCs w:val="16"/>
              </w:rPr>
              <w:t>Sp</w:t>
            </w:r>
            <w:proofErr w:type="spellEnd"/>
            <w:r>
              <w:rPr>
                <w:rFonts w:ascii="Verdana" w:hAnsi="Verdana"/>
                <w:color w:val="000000"/>
                <w:sz w:val="16"/>
                <w:szCs w:val="16"/>
              </w:rPr>
              <w:t xml:space="preserve">, </w:t>
            </w:r>
            <w:proofErr w:type="spellStart"/>
            <w:r>
              <w:rPr>
                <w:rFonts w:ascii="Verdana" w:hAnsi="Verdana"/>
                <w:color w:val="000000"/>
                <w:sz w:val="16"/>
                <w:szCs w:val="16"/>
              </w:rPr>
              <w:t>Sv</w:t>
            </w:r>
            <w:proofErr w:type="spellEnd"/>
            <w:r>
              <w:rPr>
                <w:rFonts w:ascii="Verdana" w:hAnsi="Verdana"/>
                <w:color w:val="000000"/>
                <w:sz w:val="16"/>
                <w:szCs w:val="16"/>
              </w:rPr>
              <w:t>)</w:t>
            </w:r>
          </w:p>
        </w:tc>
        <w:tc>
          <w:tcPr>
            <w:tcW w:w="1660" w:type="dxa"/>
            <w:tcBorders>
              <w:top w:val="nil"/>
              <w:left w:val="nil"/>
              <w:bottom w:val="single" w:sz="4" w:space="0" w:color="auto"/>
              <w:right w:val="single" w:sz="8" w:space="0" w:color="auto"/>
            </w:tcBorders>
            <w:noWrap/>
            <w:vAlign w:val="bottom"/>
            <w:hideMark/>
          </w:tcPr>
          <w:p w14:paraId="5C3ECFE8" w14:textId="77777777" w:rsidR="00304A89" w:rsidRDefault="00304A89">
            <w:pPr>
              <w:jc w:val="center"/>
              <w:rPr>
                <w:rFonts w:ascii="Verdana" w:hAnsi="Verdana"/>
                <w:color w:val="000000"/>
                <w:sz w:val="16"/>
                <w:szCs w:val="16"/>
              </w:rPr>
            </w:pPr>
            <w:r>
              <w:rPr>
                <w:rFonts w:ascii="Verdana" w:hAnsi="Verdana"/>
                <w:color w:val="000000"/>
                <w:sz w:val="16"/>
                <w:szCs w:val="16"/>
              </w:rPr>
              <w:t>24,5</w:t>
            </w:r>
          </w:p>
        </w:tc>
        <w:tc>
          <w:tcPr>
            <w:tcW w:w="160" w:type="dxa"/>
            <w:noWrap/>
            <w:vAlign w:val="bottom"/>
            <w:hideMark/>
          </w:tcPr>
          <w:p w14:paraId="70BAE918" w14:textId="77777777" w:rsidR="00304A89" w:rsidRDefault="00304A89">
            <w:pPr>
              <w:rPr>
                <w:sz w:val="20"/>
                <w:szCs w:val="20"/>
              </w:rPr>
            </w:pPr>
          </w:p>
        </w:tc>
        <w:tc>
          <w:tcPr>
            <w:tcW w:w="840" w:type="dxa"/>
            <w:tcBorders>
              <w:top w:val="nil"/>
              <w:left w:val="single" w:sz="8" w:space="0" w:color="auto"/>
              <w:bottom w:val="single" w:sz="4" w:space="0" w:color="auto"/>
              <w:right w:val="single" w:sz="4" w:space="0" w:color="auto"/>
            </w:tcBorders>
            <w:noWrap/>
            <w:vAlign w:val="bottom"/>
            <w:hideMark/>
          </w:tcPr>
          <w:p w14:paraId="4D8D3A8C" w14:textId="77777777" w:rsidR="00304A89" w:rsidRDefault="00304A89">
            <w:pPr>
              <w:jc w:val="right"/>
              <w:rPr>
                <w:rFonts w:ascii="Verdana" w:hAnsi="Verdana"/>
                <w:color w:val="000000"/>
                <w:sz w:val="16"/>
                <w:szCs w:val="16"/>
              </w:rPr>
            </w:pPr>
            <w:r>
              <w:rPr>
                <w:rFonts w:ascii="Verdana" w:hAnsi="Verdana"/>
                <w:color w:val="000000"/>
                <w:sz w:val="16"/>
                <w:szCs w:val="16"/>
              </w:rPr>
              <w:t>1,02</w:t>
            </w:r>
          </w:p>
        </w:tc>
        <w:tc>
          <w:tcPr>
            <w:tcW w:w="840" w:type="dxa"/>
            <w:tcBorders>
              <w:top w:val="nil"/>
              <w:left w:val="nil"/>
              <w:bottom w:val="single" w:sz="4" w:space="0" w:color="auto"/>
              <w:right w:val="single" w:sz="4" w:space="0" w:color="auto"/>
            </w:tcBorders>
            <w:noWrap/>
            <w:vAlign w:val="bottom"/>
            <w:hideMark/>
          </w:tcPr>
          <w:p w14:paraId="3E0BFE60" w14:textId="77777777" w:rsidR="00304A89" w:rsidRDefault="00304A89">
            <w:pPr>
              <w:jc w:val="right"/>
              <w:rPr>
                <w:rFonts w:ascii="Verdana" w:hAnsi="Verdana"/>
                <w:color w:val="000000"/>
                <w:sz w:val="16"/>
                <w:szCs w:val="16"/>
              </w:rPr>
            </w:pPr>
            <w:r>
              <w:rPr>
                <w:rFonts w:ascii="Verdana" w:hAnsi="Verdana"/>
                <w:color w:val="000000"/>
                <w:sz w:val="16"/>
                <w:szCs w:val="16"/>
              </w:rPr>
              <w:t>1</w:t>
            </w:r>
          </w:p>
        </w:tc>
        <w:tc>
          <w:tcPr>
            <w:tcW w:w="760" w:type="dxa"/>
            <w:tcBorders>
              <w:top w:val="nil"/>
              <w:left w:val="nil"/>
              <w:bottom w:val="single" w:sz="4" w:space="0" w:color="auto"/>
              <w:right w:val="single" w:sz="4" w:space="0" w:color="auto"/>
            </w:tcBorders>
            <w:noWrap/>
            <w:vAlign w:val="bottom"/>
            <w:hideMark/>
          </w:tcPr>
          <w:p w14:paraId="6D2A89D4" w14:textId="77777777" w:rsidR="00304A89" w:rsidRDefault="00304A89">
            <w:pPr>
              <w:jc w:val="right"/>
              <w:rPr>
                <w:rFonts w:ascii="Verdana" w:hAnsi="Verdana"/>
                <w:color w:val="000000"/>
                <w:sz w:val="16"/>
                <w:szCs w:val="16"/>
              </w:rPr>
            </w:pPr>
            <w:r>
              <w:rPr>
                <w:rFonts w:ascii="Verdana" w:hAnsi="Verdana"/>
                <w:color w:val="000000"/>
                <w:sz w:val="16"/>
                <w:szCs w:val="16"/>
              </w:rPr>
              <w:t>1</w:t>
            </w:r>
          </w:p>
        </w:tc>
        <w:tc>
          <w:tcPr>
            <w:tcW w:w="880" w:type="dxa"/>
            <w:tcBorders>
              <w:top w:val="nil"/>
              <w:left w:val="nil"/>
              <w:bottom w:val="single" w:sz="4" w:space="0" w:color="auto"/>
              <w:right w:val="single" w:sz="8" w:space="0" w:color="auto"/>
            </w:tcBorders>
            <w:noWrap/>
            <w:vAlign w:val="bottom"/>
            <w:hideMark/>
          </w:tcPr>
          <w:p w14:paraId="13F68BDF" w14:textId="77777777" w:rsidR="00304A89" w:rsidRDefault="00304A89">
            <w:pPr>
              <w:jc w:val="right"/>
              <w:rPr>
                <w:rFonts w:ascii="Verdana" w:hAnsi="Verdana"/>
                <w:color w:val="000000"/>
                <w:sz w:val="16"/>
                <w:szCs w:val="16"/>
              </w:rPr>
            </w:pPr>
            <w:r>
              <w:rPr>
                <w:rFonts w:ascii="Verdana" w:hAnsi="Verdana"/>
                <w:color w:val="000000"/>
                <w:sz w:val="16"/>
                <w:szCs w:val="16"/>
              </w:rPr>
              <w:t>1,02</w:t>
            </w:r>
          </w:p>
        </w:tc>
      </w:tr>
      <w:tr w:rsidR="00304A89" w14:paraId="0F398A48" w14:textId="77777777" w:rsidTr="00435BA6">
        <w:trPr>
          <w:trHeight w:val="276"/>
        </w:trPr>
        <w:tc>
          <w:tcPr>
            <w:tcW w:w="4720" w:type="dxa"/>
            <w:tcBorders>
              <w:top w:val="nil"/>
              <w:left w:val="single" w:sz="8" w:space="0" w:color="auto"/>
              <w:bottom w:val="single" w:sz="4" w:space="0" w:color="auto"/>
              <w:right w:val="single" w:sz="4" w:space="0" w:color="auto"/>
            </w:tcBorders>
            <w:noWrap/>
            <w:vAlign w:val="bottom"/>
            <w:hideMark/>
          </w:tcPr>
          <w:p w14:paraId="384A644F" w14:textId="77777777" w:rsidR="00304A89" w:rsidRDefault="00304A89">
            <w:pPr>
              <w:rPr>
                <w:rFonts w:ascii="Verdana" w:hAnsi="Verdana"/>
                <w:color w:val="000000"/>
                <w:sz w:val="16"/>
                <w:szCs w:val="16"/>
              </w:rPr>
            </w:pPr>
            <w:r>
              <w:rPr>
                <w:rFonts w:ascii="Verdana" w:hAnsi="Verdana"/>
                <w:color w:val="000000"/>
                <w:sz w:val="16"/>
                <w:szCs w:val="16"/>
              </w:rPr>
              <w:t>Vlaky Os (</w:t>
            </w:r>
            <w:proofErr w:type="spellStart"/>
            <w:r>
              <w:rPr>
                <w:rFonts w:ascii="Verdana" w:hAnsi="Verdana"/>
                <w:color w:val="000000"/>
                <w:sz w:val="16"/>
                <w:szCs w:val="16"/>
              </w:rPr>
              <w:t>zast</w:t>
            </w:r>
            <w:proofErr w:type="spellEnd"/>
            <w:r>
              <w:rPr>
                <w:rFonts w:ascii="Verdana" w:hAnsi="Verdana"/>
                <w:color w:val="000000"/>
                <w:sz w:val="16"/>
                <w:szCs w:val="16"/>
              </w:rPr>
              <w:t xml:space="preserve">. Os.  </w:t>
            </w:r>
            <w:proofErr w:type="gramStart"/>
            <w:r>
              <w:rPr>
                <w:rFonts w:ascii="Verdana" w:hAnsi="Verdana"/>
                <w:color w:val="000000"/>
                <w:sz w:val="16"/>
                <w:szCs w:val="16"/>
              </w:rPr>
              <w:t>vlaky</w:t>
            </w:r>
            <w:proofErr w:type="gramEnd"/>
            <w:r>
              <w:rPr>
                <w:rFonts w:ascii="Verdana" w:hAnsi="Verdana"/>
                <w:color w:val="000000"/>
                <w:sz w:val="16"/>
                <w:szCs w:val="16"/>
              </w:rPr>
              <w:t>, ostatní vlaky osobní dopravy)</w:t>
            </w:r>
          </w:p>
        </w:tc>
        <w:tc>
          <w:tcPr>
            <w:tcW w:w="1660" w:type="dxa"/>
            <w:tcBorders>
              <w:top w:val="nil"/>
              <w:left w:val="nil"/>
              <w:bottom w:val="single" w:sz="4" w:space="0" w:color="auto"/>
              <w:right w:val="single" w:sz="8" w:space="0" w:color="auto"/>
            </w:tcBorders>
            <w:noWrap/>
            <w:vAlign w:val="bottom"/>
            <w:hideMark/>
          </w:tcPr>
          <w:p w14:paraId="18F6FD0C" w14:textId="77777777" w:rsidR="00304A89" w:rsidRDefault="00304A89">
            <w:pPr>
              <w:jc w:val="center"/>
              <w:rPr>
                <w:rFonts w:ascii="Verdana" w:hAnsi="Verdana"/>
                <w:color w:val="000000"/>
                <w:sz w:val="16"/>
                <w:szCs w:val="16"/>
              </w:rPr>
            </w:pPr>
            <w:r>
              <w:rPr>
                <w:rFonts w:ascii="Verdana" w:hAnsi="Verdana"/>
                <w:color w:val="000000"/>
                <w:sz w:val="16"/>
                <w:szCs w:val="16"/>
              </w:rPr>
              <w:t>34,5</w:t>
            </w:r>
          </w:p>
        </w:tc>
        <w:tc>
          <w:tcPr>
            <w:tcW w:w="160" w:type="dxa"/>
            <w:noWrap/>
            <w:vAlign w:val="bottom"/>
            <w:hideMark/>
          </w:tcPr>
          <w:p w14:paraId="565680BC" w14:textId="77777777" w:rsidR="00304A89" w:rsidRDefault="00304A89">
            <w:pPr>
              <w:rPr>
                <w:sz w:val="20"/>
                <w:szCs w:val="20"/>
              </w:rPr>
            </w:pPr>
          </w:p>
        </w:tc>
        <w:tc>
          <w:tcPr>
            <w:tcW w:w="840" w:type="dxa"/>
            <w:tcBorders>
              <w:top w:val="nil"/>
              <w:left w:val="single" w:sz="8" w:space="0" w:color="auto"/>
              <w:bottom w:val="single" w:sz="4" w:space="0" w:color="auto"/>
              <w:right w:val="single" w:sz="4" w:space="0" w:color="auto"/>
            </w:tcBorders>
            <w:noWrap/>
            <w:vAlign w:val="bottom"/>
            <w:hideMark/>
          </w:tcPr>
          <w:p w14:paraId="4F95A229" w14:textId="77777777" w:rsidR="00304A89" w:rsidRDefault="00304A89">
            <w:pPr>
              <w:jc w:val="right"/>
              <w:rPr>
                <w:rFonts w:ascii="Verdana" w:hAnsi="Verdana"/>
                <w:color w:val="000000"/>
                <w:sz w:val="16"/>
                <w:szCs w:val="16"/>
              </w:rPr>
            </w:pPr>
            <w:r>
              <w:rPr>
                <w:rFonts w:ascii="Verdana" w:hAnsi="Verdana"/>
                <w:color w:val="000000"/>
                <w:sz w:val="16"/>
                <w:szCs w:val="16"/>
              </w:rPr>
              <w:t>1,02</w:t>
            </w:r>
          </w:p>
        </w:tc>
        <w:tc>
          <w:tcPr>
            <w:tcW w:w="840" w:type="dxa"/>
            <w:tcBorders>
              <w:top w:val="nil"/>
              <w:left w:val="nil"/>
              <w:bottom w:val="single" w:sz="4" w:space="0" w:color="auto"/>
              <w:right w:val="single" w:sz="4" w:space="0" w:color="auto"/>
            </w:tcBorders>
            <w:noWrap/>
            <w:vAlign w:val="bottom"/>
            <w:hideMark/>
          </w:tcPr>
          <w:p w14:paraId="3A7ACE05" w14:textId="77777777" w:rsidR="00304A89" w:rsidRDefault="00304A89">
            <w:pPr>
              <w:jc w:val="right"/>
              <w:rPr>
                <w:rFonts w:ascii="Verdana" w:hAnsi="Verdana"/>
                <w:color w:val="000000"/>
                <w:sz w:val="16"/>
                <w:szCs w:val="16"/>
              </w:rPr>
            </w:pPr>
            <w:r>
              <w:rPr>
                <w:rFonts w:ascii="Verdana" w:hAnsi="Verdana"/>
                <w:color w:val="000000"/>
                <w:sz w:val="16"/>
                <w:szCs w:val="16"/>
              </w:rPr>
              <w:t>1</w:t>
            </w:r>
          </w:p>
        </w:tc>
        <w:tc>
          <w:tcPr>
            <w:tcW w:w="760" w:type="dxa"/>
            <w:tcBorders>
              <w:top w:val="nil"/>
              <w:left w:val="nil"/>
              <w:bottom w:val="single" w:sz="4" w:space="0" w:color="auto"/>
              <w:right w:val="single" w:sz="4" w:space="0" w:color="auto"/>
            </w:tcBorders>
            <w:noWrap/>
            <w:vAlign w:val="bottom"/>
            <w:hideMark/>
          </w:tcPr>
          <w:p w14:paraId="143E6877" w14:textId="77777777" w:rsidR="00304A89" w:rsidRDefault="00304A89">
            <w:pPr>
              <w:jc w:val="right"/>
              <w:rPr>
                <w:rFonts w:ascii="Verdana" w:hAnsi="Verdana"/>
                <w:color w:val="000000"/>
                <w:sz w:val="16"/>
                <w:szCs w:val="16"/>
              </w:rPr>
            </w:pPr>
            <w:r>
              <w:rPr>
                <w:rFonts w:ascii="Verdana" w:hAnsi="Verdana"/>
                <w:color w:val="000000"/>
                <w:sz w:val="16"/>
                <w:szCs w:val="16"/>
              </w:rPr>
              <w:t>1</w:t>
            </w:r>
          </w:p>
        </w:tc>
        <w:tc>
          <w:tcPr>
            <w:tcW w:w="880" w:type="dxa"/>
            <w:tcBorders>
              <w:top w:val="nil"/>
              <w:left w:val="nil"/>
              <w:bottom w:val="single" w:sz="4" w:space="0" w:color="auto"/>
              <w:right w:val="single" w:sz="8" w:space="0" w:color="auto"/>
            </w:tcBorders>
            <w:noWrap/>
            <w:vAlign w:val="bottom"/>
            <w:hideMark/>
          </w:tcPr>
          <w:p w14:paraId="393A5E1E" w14:textId="77777777" w:rsidR="00304A89" w:rsidRDefault="00304A89">
            <w:pPr>
              <w:jc w:val="right"/>
              <w:rPr>
                <w:rFonts w:ascii="Verdana" w:hAnsi="Verdana"/>
                <w:color w:val="000000"/>
                <w:sz w:val="16"/>
                <w:szCs w:val="16"/>
              </w:rPr>
            </w:pPr>
            <w:r>
              <w:rPr>
                <w:rFonts w:ascii="Verdana" w:hAnsi="Verdana"/>
                <w:color w:val="000000"/>
                <w:sz w:val="16"/>
                <w:szCs w:val="16"/>
              </w:rPr>
              <w:t>1,02</w:t>
            </w:r>
          </w:p>
        </w:tc>
      </w:tr>
      <w:tr w:rsidR="00304A89" w14:paraId="1EBA2E28" w14:textId="77777777" w:rsidTr="00435BA6">
        <w:trPr>
          <w:trHeight w:val="276"/>
        </w:trPr>
        <w:tc>
          <w:tcPr>
            <w:tcW w:w="4720" w:type="dxa"/>
            <w:tcBorders>
              <w:top w:val="nil"/>
              <w:left w:val="single" w:sz="8" w:space="0" w:color="auto"/>
              <w:bottom w:val="single" w:sz="4" w:space="0" w:color="auto"/>
              <w:right w:val="single" w:sz="4" w:space="0" w:color="auto"/>
            </w:tcBorders>
            <w:noWrap/>
            <w:vAlign w:val="bottom"/>
            <w:hideMark/>
          </w:tcPr>
          <w:p w14:paraId="2D7A966B" w14:textId="77777777" w:rsidR="00304A89" w:rsidRDefault="00304A89">
            <w:pPr>
              <w:rPr>
                <w:rFonts w:ascii="Verdana" w:hAnsi="Verdana"/>
                <w:color w:val="000000"/>
                <w:sz w:val="16"/>
                <w:szCs w:val="16"/>
              </w:rPr>
            </w:pPr>
            <w:r>
              <w:rPr>
                <w:rFonts w:ascii="Verdana" w:hAnsi="Verdana"/>
                <w:color w:val="000000"/>
                <w:sz w:val="16"/>
                <w:szCs w:val="16"/>
              </w:rPr>
              <w:t xml:space="preserve">Vlaky nákladní (Nex, </w:t>
            </w:r>
            <w:proofErr w:type="spellStart"/>
            <w:r>
              <w:rPr>
                <w:rFonts w:ascii="Verdana" w:hAnsi="Verdana"/>
                <w:color w:val="000000"/>
                <w:sz w:val="16"/>
                <w:szCs w:val="16"/>
              </w:rPr>
              <w:t>Rn</w:t>
            </w:r>
            <w:proofErr w:type="spellEnd"/>
            <w:r>
              <w:rPr>
                <w:rFonts w:ascii="Verdana" w:hAnsi="Verdana"/>
                <w:color w:val="000000"/>
                <w:sz w:val="16"/>
                <w:szCs w:val="16"/>
              </w:rPr>
              <w:t xml:space="preserve">, </w:t>
            </w:r>
            <w:proofErr w:type="spellStart"/>
            <w:r>
              <w:rPr>
                <w:rFonts w:ascii="Verdana" w:hAnsi="Verdana"/>
                <w:color w:val="000000"/>
                <w:sz w:val="16"/>
                <w:szCs w:val="16"/>
              </w:rPr>
              <w:t>Pn</w:t>
            </w:r>
            <w:proofErr w:type="spellEnd"/>
            <w:r>
              <w:rPr>
                <w:rFonts w:ascii="Verdana" w:hAnsi="Verdana"/>
                <w:color w:val="000000"/>
                <w:sz w:val="16"/>
                <w:szCs w:val="16"/>
              </w:rPr>
              <w:t xml:space="preserve">, </w:t>
            </w:r>
            <w:proofErr w:type="spellStart"/>
            <w:r>
              <w:rPr>
                <w:rFonts w:ascii="Verdana" w:hAnsi="Verdana"/>
                <w:color w:val="000000"/>
                <w:sz w:val="16"/>
                <w:szCs w:val="16"/>
              </w:rPr>
              <w:t>Vn</w:t>
            </w:r>
            <w:proofErr w:type="spellEnd"/>
            <w:r>
              <w:rPr>
                <w:rFonts w:ascii="Verdana" w:hAnsi="Verdana"/>
                <w:color w:val="000000"/>
                <w:sz w:val="16"/>
                <w:szCs w:val="16"/>
              </w:rPr>
              <w:t xml:space="preserve">, </w:t>
            </w:r>
            <w:proofErr w:type="spellStart"/>
            <w:r>
              <w:rPr>
                <w:rFonts w:ascii="Verdana" w:hAnsi="Verdana"/>
                <w:color w:val="000000"/>
                <w:sz w:val="16"/>
                <w:szCs w:val="16"/>
              </w:rPr>
              <w:t>Mn+Vleč</w:t>
            </w:r>
            <w:proofErr w:type="spellEnd"/>
            <w:r>
              <w:rPr>
                <w:rFonts w:ascii="Verdana" w:hAnsi="Verdana"/>
                <w:color w:val="000000"/>
                <w:sz w:val="16"/>
                <w:szCs w:val="16"/>
              </w:rPr>
              <w:t>)</w:t>
            </w:r>
          </w:p>
        </w:tc>
        <w:tc>
          <w:tcPr>
            <w:tcW w:w="1660" w:type="dxa"/>
            <w:tcBorders>
              <w:top w:val="nil"/>
              <w:left w:val="nil"/>
              <w:bottom w:val="single" w:sz="4" w:space="0" w:color="auto"/>
              <w:right w:val="single" w:sz="8" w:space="0" w:color="auto"/>
            </w:tcBorders>
            <w:noWrap/>
            <w:vAlign w:val="bottom"/>
            <w:hideMark/>
          </w:tcPr>
          <w:p w14:paraId="52E94B6E" w14:textId="77777777" w:rsidR="00304A89" w:rsidRDefault="00304A89">
            <w:pPr>
              <w:jc w:val="center"/>
              <w:rPr>
                <w:rFonts w:ascii="Verdana" w:hAnsi="Verdana"/>
                <w:color w:val="000000"/>
                <w:sz w:val="16"/>
                <w:szCs w:val="16"/>
              </w:rPr>
            </w:pPr>
            <w:r>
              <w:rPr>
                <w:rFonts w:ascii="Verdana" w:hAnsi="Verdana"/>
                <w:color w:val="000000"/>
                <w:sz w:val="16"/>
                <w:szCs w:val="16"/>
              </w:rPr>
              <w:t>14,75</w:t>
            </w:r>
          </w:p>
        </w:tc>
        <w:tc>
          <w:tcPr>
            <w:tcW w:w="160" w:type="dxa"/>
            <w:noWrap/>
            <w:vAlign w:val="bottom"/>
            <w:hideMark/>
          </w:tcPr>
          <w:p w14:paraId="5AFF9C84" w14:textId="77777777" w:rsidR="00304A89" w:rsidRDefault="00304A89">
            <w:pPr>
              <w:rPr>
                <w:sz w:val="20"/>
                <w:szCs w:val="20"/>
              </w:rPr>
            </w:pPr>
          </w:p>
        </w:tc>
        <w:tc>
          <w:tcPr>
            <w:tcW w:w="840" w:type="dxa"/>
            <w:tcBorders>
              <w:top w:val="nil"/>
              <w:left w:val="single" w:sz="8" w:space="0" w:color="auto"/>
              <w:bottom w:val="single" w:sz="4" w:space="0" w:color="auto"/>
              <w:right w:val="single" w:sz="4" w:space="0" w:color="auto"/>
            </w:tcBorders>
            <w:noWrap/>
            <w:vAlign w:val="bottom"/>
            <w:hideMark/>
          </w:tcPr>
          <w:p w14:paraId="1B2460D4" w14:textId="77777777" w:rsidR="00304A89" w:rsidRDefault="00304A89">
            <w:pPr>
              <w:jc w:val="right"/>
              <w:rPr>
                <w:rFonts w:ascii="Verdana" w:hAnsi="Verdana"/>
                <w:color w:val="000000"/>
                <w:sz w:val="16"/>
                <w:szCs w:val="16"/>
              </w:rPr>
            </w:pPr>
            <w:r>
              <w:rPr>
                <w:rFonts w:ascii="Verdana" w:hAnsi="Verdana"/>
                <w:color w:val="000000"/>
                <w:sz w:val="16"/>
                <w:szCs w:val="16"/>
              </w:rPr>
              <w:t>1</w:t>
            </w:r>
          </w:p>
        </w:tc>
        <w:tc>
          <w:tcPr>
            <w:tcW w:w="840" w:type="dxa"/>
            <w:tcBorders>
              <w:top w:val="nil"/>
              <w:left w:val="nil"/>
              <w:bottom w:val="single" w:sz="4" w:space="0" w:color="auto"/>
              <w:right w:val="single" w:sz="4" w:space="0" w:color="auto"/>
            </w:tcBorders>
            <w:noWrap/>
            <w:vAlign w:val="bottom"/>
            <w:hideMark/>
          </w:tcPr>
          <w:p w14:paraId="5DA35591" w14:textId="77777777" w:rsidR="00304A89" w:rsidRDefault="00304A89">
            <w:pPr>
              <w:jc w:val="right"/>
              <w:rPr>
                <w:rFonts w:ascii="Verdana" w:hAnsi="Verdana"/>
                <w:color w:val="000000"/>
                <w:sz w:val="16"/>
                <w:szCs w:val="16"/>
              </w:rPr>
            </w:pPr>
            <w:r>
              <w:rPr>
                <w:rFonts w:ascii="Verdana" w:hAnsi="Verdana"/>
                <w:color w:val="000000"/>
                <w:sz w:val="16"/>
                <w:szCs w:val="16"/>
              </w:rPr>
              <w:t>1</w:t>
            </w:r>
          </w:p>
        </w:tc>
        <w:tc>
          <w:tcPr>
            <w:tcW w:w="760" w:type="dxa"/>
            <w:tcBorders>
              <w:top w:val="nil"/>
              <w:left w:val="nil"/>
              <w:bottom w:val="single" w:sz="4" w:space="0" w:color="auto"/>
              <w:right w:val="single" w:sz="4" w:space="0" w:color="auto"/>
            </w:tcBorders>
            <w:noWrap/>
            <w:vAlign w:val="bottom"/>
            <w:hideMark/>
          </w:tcPr>
          <w:p w14:paraId="5E16907D" w14:textId="77777777" w:rsidR="00304A89" w:rsidRDefault="00304A89">
            <w:pPr>
              <w:jc w:val="right"/>
              <w:rPr>
                <w:rFonts w:ascii="Verdana" w:hAnsi="Verdana"/>
                <w:color w:val="000000"/>
                <w:sz w:val="16"/>
                <w:szCs w:val="16"/>
              </w:rPr>
            </w:pPr>
            <w:r>
              <w:rPr>
                <w:rFonts w:ascii="Verdana" w:hAnsi="Verdana"/>
                <w:color w:val="000000"/>
                <w:sz w:val="16"/>
                <w:szCs w:val="16"/>
              </w:rPr>
              <w:t>1</w:t>
            </w:r>
          </w:p>
        </w:tc>
        <w:tc>
          <w:tcPr>
            <w:tcW w:w="880" w:type="dxa"/>
            <w:tcBorders>
              <w:top w:val="nil"/>
              <w:left w:val="nil"/>
              <w:bottom w:val="single" w:sz="4" w:space="0" w:color="auto"/>
              <w:right w:val="single" w:sz="8" w:space="0" w:color="auto"/>
            </w:tcBorders>
            <w:noWrap/>
            <w:vAlign w:val="bottom"/>
            <w:hideMark/>
          </w:tcPr>
          <w:p w14:paraId="22B1EC12" w14:textId="77777777" w:rsidR="00304A89" w:rsidRDefault="00304A89">
            <w:pPr>
              <w:jc w:val="right"/>
              <w:rPr>
                <w:rFonts w:ascii="Verdana" w:hAnsi="Verdana"/>
                <w:color w:val="000000"/>
                <w:sz w:val="16"/>
                <w:szCs w:val="16"/>
              </w:rPr>
            </w:pPr>
            <w:r>
              <w:rPr>
                <w:rFonts w:ascii="Verdana" w:hAnsi="Verdana"/>
                <w:color w:val="000000"/>
                <w:sz w:val="16"/>
                <w:szCs w:val="16"/>
              </w:rPr>
              <w:t>1</w:t>
            </w:r>
          </w:p>
        </w:tc>
      </w:tr>
      <w:tr w:rsidR="00304A89" w14:paraId="07FDD410" w14:textId="77777777" w:rsidTr="00435BA6">
        <w:trPr>
          <w:trHeight w:val="288"/>
        </w:trPr>
        <w:tc>
          <w:tcPr>
            <w:tcW w:w="4720" w:type="dxa"/>
            <w:tcBorders>
              <w:top w:val="nil"/>
              <w:left w:val="single" w:sz="8" w:space="0" w:color="auto"/>
              <w:bottom w:val="single" w:sz="8" w:space="0" w:color="auto"/>
              <w:right w:val="single" w:sz="4" w:space="0" w:color="auto"/>
            </w:tcBorders>
            <w:noWrap/>
            <w:vAlign w:val="bottom"/>
            <w:hideMark/>
          </w:tcPr>
          <w:p w14:paraId="6789702C" w14:textId="77777777" w:rsidR="00304A89" w:rsidRDefault="00304A89">
            <w:pPr>
              <w:rPr>
                <w:rFonts w:ascii="Verdana" w:hAnsi="Verdana"/>
                <w:color w:val="000000"/>
                <w:sz w:val="16"/>
                <w:szCs w:val="16"/>
              </w:rPr>
            </w:pPr>
            <w:r>
              <w:rPr>
                <w:rFonts w:ascii="Verdana" w:hAnsi="Verdana"/>
                <w:color w:val="000000"/>
                <w:sz w:val="16"/>
                <w:szCs w:val="16"/>
              </w:rPr>
              <w:t>Ostatní vlaky (lokomotivní)</w:t>
            </w:r>
          </w:p>
        </w:tc>
        <w:tc>
          <w:tcPr>
            <w:tcW w:w="1660" w:type="dxa"/>
            <w:tcBorders>
              <w:top w:val="nil"/>
              <w:left w:val="nil"/>
              <w:bottom w:val="single" w:sz="8" w:space="0" w:color="auto"/>
              <w:right w:val="single" w:sz="8" w:space="0" w:color="auto"/>
            </w:tcBorders>
            <w:noWrap/>
            <w:vAlign w:val="bottom"/>
            <w:hideMark/>
          </w:tcPr>
          <w:p w14:paraId="1EA1384E" w14:textId="77777777" w:rsidR="00304A89" w:rsidRDefault="00304A89">
            <w:pPr>
              <w:jc w:val="center"/>
              <w:rPr>
                <w:rFonts w:ascii="Verdana" w:hAnsi="Verdana"/>
                <w:color w:val="000000"/>
                <w:sz w:val="16"/>
                <w:szCs w:val="16"/>
              </w:rPr>
            </w:pPr>
            <w:r>
              <w:rPr>
                <w:rFonts w:ascii="Verdana" w:hAnsi="Verdana"/>
                <w:color w:val="000000"/>
                <w:sz w:val="16"/>
                <w:szCs w:val="16"/>
              </w:rPr>
              <w:t>29</w:t>
            </w:r>
          </w:p>
        </w:tc>
        <w:tc>
          <w:tcPr>
            <w:tcW w:w="160" w:type="dxa"/>
            <w:noWrap/>
            <w:vAlign w:val="bottom"/>
            <w:hideMark/>
          </w:tcPr>
          <w:p w14:paraId="29F9C687" w14:textId="77777777" w:rsidR="00304A89" w:rsidRDefault="00304A89">
            <w:pPr>
              <w:rPr>
                <w:sz w:val="20"/>
                <w:szCs w:val="20"/>
              </w:rPr>
            </w:pPr>
          </w:p>
        </w:tc>
        <w:tc>
          <w:tcPr>
            <w:tcW w:w="840" w:type="dxa"/>
            <w:tcBorders>
              <w:top w:val="nil"/>
              <w:left w:val="single" w:sz="8" w:space="0" w:color="auto"/>
              <w:bottom w:val="single" w:sz="8" w:space="0" w:color="auto"/>
              <w:right w:val="single" w:sz="4" w:space="0" w:color="auto"/>
            </w:tcBorders>
            <w:noWrap/>
            <w:vAlign w:val="bottom"/>
            <w:hideMark/>
          </w:tcPr>
          <w:p w14:paraId="6E41F9BD" w14:textId="77777777" w:rsidR="00304A89" w:rsidRDefault="00304A89">
            <w:pPr>
              <w:jc w:val="right"/>
              <w:rPr>
                <w:rFonts w:ascii="Verdana" w:hAnsi="Verdana"/>
                <w:color w:val="000000"/>
                <w:sz w:val="16"/>
                <w:szCs w:val="16"/>
              </w:rPr>
            </w:pPr>
            <w:r>
              <w:rPr>
                <w:rFonts w:ascii="Verdana" w:hAnsi="Verdana"/>
                <w:color w:val="000000"/>
                <w:sz w:val="16"/>
                <w:szCs w:val="16"/>
              </w:rPr>
              <w:t>1</w:t>
            </w:r>
          </w:p>
        </w:tc>
        <w:tc>
          <w:tcPr>
            <w:tcW w:w="840" w:type="dxa"/>
            <w:tcBorders>
              <w:top w:val="nil"/>
              <w:left w:val="nil"/>
              <w:bottom w:val="single" w:sz="8" w:space="0" w:color="auto"/>
              <w:right w:val="single" w:sz="4" w:space="0" w:color="auto"/>
            </w:tcBorders>
            <w:noWrap/>
            <w:vAlign w:val="bottom"/>
            <w:hideMark/>
          </w:tcPr>
          <w:p w14:paraId="7416B98C" w14:textId="77777777" w:rsidR="00304A89" w:rsidRDefault="00304A89">
            <w:pPr>
              <w:jc w:val="right"/>
              <w:rPr>
                <w:rFonts w:ascii="Verdana" w:hAnsi="Verdana"/>
                <w:color w:val="000000"/>
                <w:sz w:val="16"/>
                <w:szCs w:val="16"/>
              </w:rPr>
            </w:pPr>
            <w:r>
              <w:rPr>
                <w:rFonts w:ascii="Verdana" w:hAnsi="Verdana"/>
                <w:color w:val="000000"/>
                <w:sz w:val="16"/>
                <w:szCs w:val="16"/>
              </w:rPr>
              <w:t>1</w:t>
            </w:r>
          </w:p>
        </w:tc>
        <w:tc>
          <w:tcPr>
            <w:tcW w:w="760" w:type="dxa"/>
            <w:tcBorders>
              <w:top w:val="nil"/>
              <w:left w:val="nil"/>
              <w:bottom w:val="single" w:sz="8" w:space="0" w:color="auto"/>
              <w:right w:val="single" w:sz="4" w:space="0" w:color="auto"/>
            </w:tcBorders>
            <w:noWrap/>
            <w:vAlign w:val="bottom"/>
            <w:hideMark/>
          </w:tcPr>
          <w:p w14:paraId="26D933A9" w14:textId="77777777" w:rsidR="00304A89" w:rsidRDefault="00304A89">
            <w:pPr>
              <w:jc w:val="right"/>
              <w:rPr>
                <w:rFonts w:ascii="Verdana" w:hAnsi="Verdana"/>
                <w:color w:val="000000"/>
                <w:sz w:val="16"/>
                <w:szCs w:val="16"/>
              </w:rPr>
            </w:pPr>
            <w:r>
              <w:rPr>
                <w:rFonts w:ascii="Verdana" w:hAnsi="Verdana"/>
                <w:color w:val="000000"/>
                <w:sz w:val="16"/>
                <w:szCs w:val="16"/>
              </w:rPr>
              <w:t>1</w:t>
            </w:r>
          </w:p>
        </w:tc>
        <w:tc>
          <w:tcPr>
            <w:tcW w:w="880" w:type="dxa"/>
            <w:tcBorders>
              <w:top w:val="nil"/>
              <w:left w:val="nil"/>
              <w:bottom w:val="single" w:sz="8" w:space="0" w:color="auto"/>
              <w:right w:val="single" w:sz="8" w:space="0" w:color="auto"/>
            </w:tcBorders>
            <w:noWrap/>
            <w:vAlign w:val="bottom"/>
            <w:hideMark/>
          </w:tcPr>
          <w:p w14:paraId="759FA159" w14:textId="77777777" w:rsidR="00304A89" w:rsidRDefault="00304A89">
            <w:pPr>
              <w:jc w:val="right"/>
              <w:rPr>
                <w:rFonts w:ascii="Verdana" w:hAnsi="Verdana"/>
                <w:color w:val="000000"/>
                <w:sz w:val="16"/>
                <w:szCs w:val="16"/>
              </w:rPr>
            </w:pPr>
            <w:r>
              <w:rPr>
                <w:rFonts w:ascii="Verdana" w:hAnsi="Verdana"/>
                <w:color w:val="000000"/>
                <w:sz w:val="16"/>
                <w:szCs w:val="16"/>
              </w:rPr>
              <w:t>1</w:t>
            </w:r>
          </w:p>
        </w:tc>
      </w:tr>
      <w:tr w:rsidR="00304A89" w14:paraId="01730805" w14:textId="77777777" w:rsidTr="00435BA6">
        <w:trPr>
          <w:trHeight w:val="204"/>
        </w:trPr>
        <w:tc>
          <w:tcPr>
            <w:tcW w:w="4720" w:type="dxa"/>
            <w:noWrap/>
            <w:vAlign w:val="bottom"/>
            <w:hideMark/>
          </w:tcPr>
          <w:p w14:paraId="2FBD1FB0" w14:textId="77777777" w:rsidR="00304A89" w:rsidRDefault="00304A89">
            <w:pPr>
              <w:rPr>
                <w:sz w:val="20"/>
                <w:szCs w:val="20"/>
              </w:rPr>
            </w:pPr>
          </w:p>
        </w:tc>
        <w:tc>
          <w:tcPr>
            <w:tcW w:w="1660" w:type="dxa"/>
            <w:noWrap/>
            <w:vAlign w:val="bottom"/>
            <w:hideMark/>
          </w:tcPr>
          <w:p w14:paraId="05756D6C" w14:textId="77777777" w:rsidR="00304A89" w:rsidRDefault="00304A89">
            <w:pPr>
              <w:rPr>
                <w:sz w:val="20"/>
                <w:szCs w:val="20"/>
              </w:rPr>
            </w:pPr>
          </w:p>
        </w:tc>
        <w:tc>
          <w:tcPr>
            <w:tcW w:w="160" w:type="dxa"/>
            <w:noWrap/>
            <w:vAlign w:val="bottom"/>
            <w:hideMark/>
          </w:tcPr>
          <w:p w14:paraId="04F36A7B" w14:textId="77777777" w:rsidR="00304A89" w:rsidRDefault="00304A89">
            <w:pPr>
              <w:rPr>
                <w:sz w:val="20"/>
                <w:szCs w:val="20"/>
              </w:rPr>
            </w:pPr>
          </w:p>
        </w:tc>
        <w:tc>
          <w:tcPr>
            <w:tcW w:w="840" w:type="dxa"/>
            <w:noWrap/>
            <w:vAlign w:val="bottom"/>
            <w:hideMark/>
          </w:tcPr>
          <w:p w14:paraId="0948A48A" w14:textId="77777777" w:rsidR="00304A89" w:rsidRDefault="00304A89">
            <w:pPr>
              <w:rPr>
                <w:sz w:val="20"/>
                <w:szCs w:val="20"/>
              </w:rPr>
            </w:pPr>
          </w:p>
        </w:tc>
        <w:tc>
          <w:tcPr>
            <w:tcW w:w="840" w:type="dxa"/>
            <w:noWrap/>
            <w:vAlign w:val="bottom"/>
            <w:hideMark/>
          </w:tcPr>
          <w:p w14:paraId="42DCE9EB" w14:textId="77777777" w:rsidR="00304A89" w:rsidRDefault="00304A89">
            <w:pPr>
              <w:rPr>
                <w:sz w:val="20"/>
                <w:szCs w:val="20"/>
              </w:rPr>
            </w:pPr>
          </w:p>
        </w:tc>
        <w:tc>
          <w:tcPr>
            <w:tcW w:w="760" w:type="dxa"/>
            <w:noWrap/>
            <w:vAlign w:val="bottom"/>
            <w:hideMark/>
          </w:tcPr>
          <w:p w14:paraId="3006C785" w14:textId="77777777" w:rsidR="00304A89" w:rsidRDefault="00304A89">
            <w:pPr>
              <w:rPr>
                <w:sz w:val="20"/>
                <w:szCs w:val="20"/>
              </w:rPr>
            </w:pPr>
          </w:p>
        </w:tc>
        <w:tc>
          <w:tcPr>
            <w:tcW w:w="880" w:type="dxa"/>
            <w:noWrap/>
            <w:vAlign w:val="bottom"/>
            <w:hideMark/>
          </w:tcPr>
          <w:p w14:paraId="0F21096B" w14:textId="77777777" w:rsidR="00304A89" w:rsidRDefault="00304A89">
            <w:pPr>
              <w:rPr>
                <w:sz w:val="20"/>
                <w:szCs w:val="20"/>
              </w:rPr>
            </w:pPr>
          </w:p>
        </w:tc>
      </w:tr>
      <w:tr w:rsidR="00304A89" w14:paraId="0B03DA78" w14:textId="77777777" w:rsidTr="00435BA6">
        <w:trPr>
          <w:trHeight w:val="276"/>
        </w:trPr>
        <w:tc>
          <w:tcPr>
            <w:tcW w:w="4720" w:type="dxa"/>
            <w:noWrap/>
            <w:vAlign w:val="bottom"/>
            <w:hideMark/>
          </w:tcPr>
          <w:p w14:paraId="3507597F" w14:textId="77777777" w:rsidR="00304A89" w:rsidRDefault="00304A89">
            <w:pPr>
              <w:jc w:val="right"/>
              <w:rPr>
                <w:rFonts w:ascii="Verdana" w:hAnsi="Verdana"/>
                <w:color w:val="000000"/>
                <w:sz w:val="16"/>
                <w:szCs w:val="16"/>
              </w:rPr>
            </w:pPr>
            <w:r>
              <w:rPr>
                <w:rFonts w:ascii="Verdana" w:hAnsi="Verdana"/>
                <w:color w:val="000000"/>
                <w:sz w:val="16"/>
                <w:szCs w:val="16"/>
              </w:rPr>
              <w:t xml:space="preserve">Koeficient technických ztrát - </w:t>
            </w:r>
            <w:proofErr w:type="spellStart"/>
            <w:r>
              <w:rPr>
                <w:rFonts w:ascii="Verdana" w:hAnsi="Verdana"/>
                <w:color w:val="000000"/>
                <w:sz w:val="16"/>
                <w:szCs w:val="16"/>
              </w:rPr>
              <w:t>k</w:t>
            </w:r>
            <w:r>
              <w:rPr>
                <w:rFonts w:ascii="Verdana" w:hAnsi="Verdana"/>
                <w:color w:val="000000"/>
                <w:sz w:val="16"/>
                <w:szCs w:val="16"/>
                <w:vertAlign w:val="subscript"/>
              </w:rPr>
              <w:t>z</w:t>
            </w:r>
            <w:proofErr w:type="spellEnd"/>
          </w:p>
        </w:tc>
        <w:tc>
          <w:tcPr>
            <w:tcW w:w="1660" w:type="dxa"/>
            <w:noWrap/>
            <w:vAlign w:val="bottom"/>
            <w:hideMark/>
          </w:tcPr>
          <w:p w14:paraId="76012105" w14:textId="77777777" w:rsidR="00304A89" w:rsidRDefault="00304A89">
            <w:pPr>
              <w:jc w:val="center"/>
              <w:rPr>
                <w:rFonts w:ascii="Verdana" w:hAnsi="Verdana"/>
                <w:color w:val="000000"/>
                <w:sz w:val="16"/>
                <w:szCs w:val="16"/>
              </w:rPr>
            </w:pPr>
            <w:r>
              <w:rPr>
                <w:rFonts w:ascii="Verdana" w:hAnsi="Verdana"/>
                <w:color w:val="000000"/>
                <w:sz w:val="16"/>
                <w:szCs w:val="16"/>
              </w:rPr>
              <w:t>1,09</w:t>
            </w:r>
          </w:p>
        </w:tc>
        <w:tc>
          <w:tcPr>
            <w:tcW w:w="160" w:type="dxa"/>
            <w:noWrap/>
            <w:vAlign w:val="bottom"/>
            <w:hideMark/>
          </w:tcPr>
          <w:p w14:paraId="245CB7E3" w14:textId="77777777" w:rsidR="00304A89" w:rsidRDefault="00304A89">
            <w:pPr>
              <w:rPr>
                <w:sz w:val="20"/>
                <w:szCs w:val="20"/>
              </w:rPr>
            </w:pPr>
          </w:p>
        </w:tc>
        <w:tc>
          <w:tcPr>
            <w:tcW w:w="840" w:type="dxa"/>
            <w:noWrap/>
            <w:vAlign w:val="bottom"/>
            <w:hideMark/>
          </w:tcPr>
          <w:p w14:paraId="14075376" w14:textId="77777777" w:rsidR="00304A89" w:rsidRDefault="00304A89">
            <w:pPr>
              <w:rPr>
                <w:sz w:val="20"/>
                <w:szCs w:val="20"/>
              </w:rPr>
            </w:pPr>
          </w:p>
        </w:tc>
        <w:tc>
          <w:tcPr>
            <w:tcW w:w="840" w:type="dxa"/>
            <w:noWrap/>
            <w:vAlign w:val="bottom"/>
            <w:hideMark/>
          </w:tcPr>
          <w:p w14:paraId="7819A118" w14:textId="77777777" w:rsidR="00304A89" w:rsidRDefault="00304A89">
            <w:pPr>
              <w:rPr>
                <w:sz w:val="20"/>
                <w:szCs w:val="20"/>
              </w:rPr>
            </w:pPr>
          </w:p>
        </w:tc>
        <w:tc>
          <w:tcPr>
            <w:tcW w:w="760" w:type="dxa"/>
            <w:noWrap/>
            <w:vAlign w:val="bottom"/>
            <w:hideMark/>
          </w:tcPr>
          <w:p w14:paraId="0A45FDA6" w14:textId="77777777" w:rsidR="00304A89" w:rsidRDefault="00304A89">
            <w:pPr>
              <w:rPr>
                <w:sz w:val="20"/>
                <w:szCs w:val="20"/>
              </w:rPr>
            </w:pPr>
          </w:p>
        </w:tc>
        <w:tc>
          <w:tcPr>
            <w:tcW w:w="880" w:type="dxa"/>
            <w:noWrap/>
            <w:vAlign w:val="bottom"/>
            <w:hideMark/>
          </w:tcPr>
          <w:p w14:paraId="3A207A62" w14:textId="77777777" w:rsidR="00304A89" w:rsidRDefault="00304A89">
            <w:pPr>
              <w:rPr>
                <w:sz w:val="20"/>
                <w:szCs w:val="20"/>
              </w:rPr>
            </w:pPr>
          </w:p>
        </w:tc>
      </w:tr>
      <w:tr w:rsidR="00304A89" w14:paraId="5930731E" w14:textId="77777777" w:rsidTr="00435BA6">
        <w:trPr>
          <w:trHeight w:val="276"/>
        </w:trPr>
        <w:tc>
          <w:tcPr>
            <w:tcW w:w="4720" w:type="dxa"/>
            <w:noWrap/>
            <w:vAlign w:val="bottom"/>
            <w:hideMark/>
          </w:tcPr>
          <w:p w14:paraId="2DE0F168" w14:textId="77777777" w:rsidR="00304A89" w:rsidRDefault="00304A89">
            <w:pPr>
              <w:rPr>
                <w:sz w:val="20"/>
                <w:szCs w:val="20"/>
              </w:rPr>
            </w:pPr>
          </w:p>
        </w:tc>
        <w:tc>
          <w:tcPr>
            <w:tcW w:w="1660" w:type="dxa"/>
            <w:noWrap/>
            <w:vAlign w:val="bottom"/>
            <w:hideMark/>
          </w:tcPr>
          <w:p w14:paraId="2999E505" w14:textId="77777777" w:rsidR="00304A89" w:rsidRDefault="00304A89">
            <w:pPr>
              <w:rPr>
                <w:sz w:val="20"/>
                <w:szCs w:val="20"/>
              </w:rPr>
            </w:pPr>
          </w:p>
        </w:tc>
        <w:tc>
          <w:tcPr>
            <w:tcW w:w="160" w:type="dxa"/>
            <w:noWrap/>
            <w:vAlign w:val="bottom"/>
            <w:hideMark/>
          </w:tcPr>
          <w:p w14:paraId="0FF3BA2D" w14:textId="77777777" w:rsidR="00304A89" w:rsidRDefault="00304A89">
            <w:pPr>
              <w:rPr>
                <w:sz w:val="20"/>
                <w:szCs w:val="20"/>
              </w:rPr>
            </w:pPr>
          </w:p>
        </w:tc>
        <w:tc>
          <w:tcPr>
            <w:tcW w:w="840" w:type="dxa"/>
            <w:noWrap/>
            <w:vAlign w:val="bottom"/>
            <w:hideMark/>
          </w:tcPr>
          <w:p w14:paraId="1439FD28" w14:textId="77777777" w:rsidR="00304A89" w:rsidRDefault="00304A89">
            <w:pPr>
              <w:rPr>
                <w:sz w:val="20"/>
                <w:szCs w:val="20"/>
              </w:rPr>
            </w:pPr>
          </w:p>
        </w:tc>
        <w:tc>
          <w:tcPr>
            <w:tcW w:w="840" w:type="dxa"/>
            <w:noWrap/>
            <w:vAlign w:val="bottom"/>
            <w:hideMark/>
          </w:tcPr>
          <w:p w14:paraId="0FB1B2D6" w14:textId="77777777" w:rsidR="00304A89" w:rsidRDefault="00304A89">
            <w:pPr>
              <w:rPr>
                <w:sz w:val="20"/>
                <w:szCs w:val="20"/>
              </w:rPr>
            </w:pPr>
          </w:p>
        </w:tc>
        <w:tc>
          <w:tcPr>
            <w:tcW w:w="760" w:type="dxa"/>
            <w:noWrap/>
            <w:vAlign w:val="bottom"/>
            <w:hideMark/>
          </w:tcPr>
          <w:p w14:paraId="2F268446" w14:textId="77777777" w:rsidR="00304A89" w:rsidRDefault="00304A89">
            <w:pPr>
              <w:rPr>
                <w:sz w:val="20"/>
                <w:szCs w:val="20"/>
              </w:rPr>
            </w:pPr>
          </w:p>
        </w:tc>
        <w:tc>
          <w:tcPr>
            <w:tcW w:w="880" w:type="dxa"/>
            <w:noWrap/>
            <w:vAlign w:val="bottom"/>
            <w:hideMark/>
          </w:tcPr>
          <w:p w14:paraId="73AD44AC" w14:textId="77777777" w:rsidR="00304A89" w:rsidRDefault="00304A89">
            <w:pPr>
              <w:rPr>
                <w:sz w:val="20"/>
                <w:szCs w:val="20"/>
              </w:rPr>
            </w:pPr>
          </w:p>
        </w:tc>
      </w:tr>
      <w:tr w:rsidR="00304A89" w14:paraId="5DB51D60" w14:textId="77777777" w:rsidTr="00435BA6">
        <w:trPr>
          <w:trHeight w:val="276"/>
        </w:trPr>
        <w:tc>
          <w:tcPr>
            <w:tcW w:w="4720" w:type="dxa"/>
            <w:noWrap/>
            <w:vAlign w:val="bottom"/>
            <w:hideMark/>
          </w:tcPr>
          <w:p w14:paraId="32BD30D2" w14:textId="77777777" w:rsidR="00304A89" w:rsidRDefault="00304A89">
            <w:pPr>
              <w:rPr>
                <w:rFonts w:ascii="Verdana" w:hAnsi="Verdana"/>
                <w:b/>
                <w:bCs/>
                <w:color w:val="000000"/>
                <w:sz w:val="16"/>
                <w:szCs w:val="16"/>
              </w:rPr>
            </w:pPr>
            <w:r>
              <w:rPr>
                <w:rFonts w:ascii="Verdana" w:hAnsi="Verdana"/>
                <w:b/>
                <w:bCs/>
                <w:color w:val="000000"/>
                <w:sz w:val="16"/>
                <w:szCs w:val="16"/>
              </w:rPr>
              <w:t>Stejnosměrná trakční soustava</w:t>
            </w:r>
          </w:p>
        </w:tc>
        <w:tc>
          <w:tcPr>
            <w:tcW w:w="1660" w:type="dxa"/>
            <w:noWrap/>
            <w:vAlign w:val="bottom"/>
            <w:hideMark/>
          </w:tcPr>
          <w:p w14:paraId="1F06C9D9" w14:textId="77777777" w:rsidR="00304A89" w:rsidRDefault="00304A89">
            <w:pPr>
              <w:rPr>
                <w:sz w:val="20"/>
                <w:szCs w:val="20"/>
              </w:rPr>
            </w:pPr>
          </w:p>
        </w:tc>
        <w:tc>
          <w:tcPr>
            <w:tcW w:w="160" w:type="dxa"/>
            <w:noWrap/>
            <w:vAlign w:val="bottom"/>
            <w:hideMark/>
          </w:tcPr>
          <w:p w14:paraId="627A5056" w14:textId="77777777" w:rsidR="00304A89" w:rsidRDefault="00304A89">
            <w:pPr>
              <w:rPr>
                <w:sz w:val="20"/>
                <w:szCs w:val="20"/>
              </w:rPr>
            </w:pPr>
          </w:p>
        </w:tc>
        <w:tc>
          <w:tcPr>
            <w:tcW w:w="840" w:type="dxa"/>
            <w:noWrap/>
            <w:vAlign w:val="bottom"/>
            <w:hideMark/>
          </w:tcPr>
          <w:p w14:paraId="0968F087" w14:textId="77777777" w:rsidR="00304A89" w:rsidRDefault="00304A89">
            <w:pPr>
              <w:rPr>
                <w:sz w:val="20"/>
                <w:szCs w:val="20"/>
              </w:rPr>
            </w:pPr>
          </w:p>
        </w:tc>
        <w:tc>
          <w:tcPr>
            <w:tcW w:w="840" w:type="dxa"/>
            <w:noWrap/>
            <w:vAlign w:val="bottom"/>
            <w:hideMark/>
          </w:tcPr>
          <w:p w14:paraId="19E01322" w14:textId="77777777" w:rsidR="00304A89" w:rsidRDefault="00304A89">
            <w:pPr>
              <w:rPr>
                <w:sz w:val="20"/>
                <w:szCs w:val="20"/>
              </w:rPr>
            </w:pPr>
          </w:p>
        </w:tc>
        <w:tc>
          <w:tcPr>
            <w:tcW w:w="760" w:type="dxa"/>
            <w:noWrap/>
            <w:vAlign w:val="bottom"/>
            <w:hideMark/>
          </w:tcPr>
          <w:p w14:paraId="444AB9A5" w14:textId="77777777" w:rsidR="00304A89" w:rsidRDefault="00304A89">
            <w:pPr>
              <w:rPr>
                <w:sz w:val="20"/>
                <w:szCs w:val="20"/>
              </w:rPr>
            </w:pPr>
          </w:p>
        </w:tc>
        <w:tc>
          <w:tcPr>
            <w:tcW w:w="880" w:type="dxa"/>
            <w:noWrap/>
            <w:vAlign w:val="bottom"/>
            <w:hideMark/>
          </w:tcPr>
          <w:p w14:paraId="01C0D4EC" w14:textId="77777777" w:rsidR="00304A89" w:rsidRDefault="00304A89">
            <w:pPr>
              <w:rPr>
                <w:sz w:val="20"/>
                <w:szCs w:val="20"/>
              </w:rPr>
            </w:pPr>
          </w:p>
        </w:tc>
      </w:tr>
      <w:tr w:rsidR="00304A89" w14:paraId="0256EB0D" w14:textId="77777777" w:rsidTr="00435BA6">
        <w:trPr>
          <w:trHeight w:val="276"/>
        </w:trPr>
        <w:tc>
          <w:tcPr>
            <w:tcW w:w="4720" w:type="dxa"/>
            <w:noWrap/>
            <w:vAlign w:val="bottom"/>
            <w:hideMark/>
          </w:tcPr>
          <w:p w14:paraId="0834DC33" w14:textId="77777777" w:rsidR="00304A89" w:rsidRDefault="00304A89">
            <w:pPr>
              <w:rPr>
                <w:sz w:val="20"/>
                <w:szCs w:val="20"/>
              </w:rPr>
            </w:pPr>
          </w:p>
        </w:tc>
        <w:tc>
          <w:tcPr>
            <w:tcW w:w="1660" w:type="dxa"/>
            <w:noWrap/>
            <w:vAlign w:val="bottom"/>
            <w:hideMark/>
          </w:tcPr>
          <w:p w14:paraId="6EF03F5B" w14:textId="77777777" w:rsidR="00304A89" w:rsidRDefault="00304A89">
            <w:pPr>
              <w:rPr>
                <w:sz w:val="20"/>
                <w:szCs w:val="20"/>
              </w:rPr>
            </w:pPr>
          </w:p>
        </w:tc>
        <w:tc>
          <w:tcPr>
            <w:tcW w:w="160" w:type="dxa"/>
            <w:noWrap/>
            <w:vAlign w:val="bottom"/>
            <w:hideMark/>
          </w:tcPr>
          <w:p w14:paraId="11BB740E" w14:textId="77777777" w:rsidR="00304A89" w:rsidRDefault="00304A89">
            <w:pPr>
              <w:rPr>
                <w:sz w:val="20"/>
                <w:szCs w:val="20"/>
              </w:rPr>
            </w:pPr>
          </w:p>
        </w:tc>
        <w:tc>
          <w:tcPr>
            <w:tcW w:w="3320" w:type="dxa"/>
            <w:gridSpan w:val="4"/>
            <w:noWrap/>
            <w:vAlign w:val="bottom"/>
            <w:hideMark/>
          </w:tcPr>
          <w:p w14:paraId="5F600970" w14:textId="77777777" w:rsidR="00304A89" w:rsidRDefault="00304A89">
            <w:pPr>
              <w:rPr>
                <w:rFonts w:ascii="Verdana" w:hAnsi="Verdana"/>
                <w:color w:val="000000"/>
                <w:sz w:val="16"/>
                <w:szCs w:val="16"/>
              </w:rPr>
            </w:pPr>
            <w:r>
              <w:rPr>
                <w:rFonts w:ascii="Verdana" w:hAnsi="Verdana"/>
                <w:color w:val="000000"/>
                <w:sz w:val="16"/>
                <w:szCs w:val="16"/>
              </w:rPr>
              <w:t xml:space="preserve">Koeficienty ročního období - </w:t>
            </w:r>
            <w:proofErr w:type="spellStart"/>
            <w:r>
              <w:rPr>
                <w:rFonts w:ascii="Verdana" w:hAnsi="Verdana"/>
                <w:color w:val="000000"/>
                <w:sz w:val="16"/>
                <w:szCs w:val="16"/>
              </w:rPr>
              <w:t>k</w:t>
            </w:r>
            <w:r>
              <w:rPr>
                <w:rFonts w:ascii="Verdana" w:hAnsi="Verdana"/>
                <w:color w:val="000000"/>
                <w:sz w:val="16"/>
                <w:szCs w:val="16"/>
                <w:vertAlign w:val="subscript"/>
              </w:rPr>
              <w:t>r</w:t>
            </w:r>
            <w:proofErr w:type="spellEnd"/>
          </w:p>
        </w:tc>
      </w:tr>
      <w:tr w:rsidR="00304A89" w14:paraId="69ED63D6" w14:textId="77777777" w:rsidTr="00435BA6">
        <w:trPr>
          <w:trHeight w:val="288"/>
        </w:trPr>
        <w:tc>
          <w:tcPr>
            <w:tcW w:w="4720" w:type="dxa"/>
            <w:noWrap/>
            <w:vAlign w:val="bottom"/>
            <w:hideMark/>
          </w:tcPr>
          <w:p w14:paraId="5B8411A3" w14:textId="77777777" w:rsidR="00304A89" w:rsidRDefault="00304A89">
            <w:pPr>
              <w:rPr>
                <w:rFonts w:ascii="Verdana" w:hAnsi="Verdana"/>
                <w:color w:val="000000"/>
                <w:sz w:val="16"/>
                <w:szCs w:val="16"/>
              </w:rPr>
            </w:pPr>
            <w:r>
              <w:rPr>
                <w:rFonts w:ascii="Verdana" w:hAnsi="Verdana"/>
                <w:color w:val="000000"/>
                <w:sz w:val="16"/>
                <w:szCs w:val="16"/>
              </w:rPr>
              <w:t>Měrné spotřeby - MS</w:t>
            </w:r>
          </w:p>
        </w:tc>
        <w:tc>
          <w:tcPr>
            <w:tcW w:w="1660" w:type="dxa"/>
            <w:noWrap/>
            <w:vAlign w:val="bottom"/>
            <w:hideMark/>
          </w:tcPr>
          <w:p w14:paraId="74A571BB" w14:textId="77777777" w:rsidR="00304A89" w:rsidRDefault="00304A89">
            <w:pPr>
              <w:rPr>
                <w:sz w:val="20"/>
                <w:szCs w:val="20"/>
              </w:rPr>
            </w:pPr>
          </w:p>
        </w:tc>
        <w:tc>
          <w:tcPr>
            <w:tcW w:w="160" w:type="dxa"/>
            <w:noWrap/>
            <w:vAlign w:val="bottom"/>
            <w:hideMark/>
          </w:tcPr>
          <w:p w14:paraId="0A0909C6" w14:textId="77777777" w:rsidR="00304A89" w:rsidRDefault="00304A89">
            <w:pPr>
              <w:rPr>
                <w:sz w:val="20"/>
                <w:szCs w:val="20"/>
              </w:rPr>
            </w:pPr>
          </w:p>
        </w:tc>
        <w:tc>
          <w:tcPr>
            <w:tcW w:w="840" w:type="dxa"/>
            <w:noWrap/>
            <w:vAlign w:val="bottom"/>
            <w:hideMark/>
          </w:tcPr>
          <w:p w14:paraId="17C8A7B4" w14:textId="77777777" w:rsidR="00304A89" w:rsidRDefault="00304A89">
            <w:pPr>
              <w:rPr>
                <w:sz w:val="20"/>
                <w:szCs w:val="20"/>
              </w:rPr>
            </w:pPr>
          </w:p>
        </w:tc>
        <w:tc>
          <w:tcPr>
            <w:tcW w:w="840" w:type="dxa"/>
            <w:noWrap/>
            <w:vAlign w:val="bottom"/>
            <w:hideMark/>
          </w:tcPr>
          <w:p w14:paraId="07D675C4" w14:textId="77777777" w:rsidR="00304A89" w:rsidRDefault="00304A89">
            <w:pPr>
              <w:rPr>
                <w:sz w:val="20"/>
                <w:szCs w:val="20"/>
              </w:rPr>
            </w:pPr>
          </w:p>
        </w:tc>
        <w:tc>
          <w:tcPr>
            <w:tcW w:w="760" w:type="dxa"/>
            <w:noWrap/>
            <w:vAlign w:val="bottom"/>
            <w:hideMark/>
          </w:tcPr>
          <w:p w14:paraId="49709DB8" w14:textId="77777777" w:rsidR="00304A89" w:rsidRDefault="00304A89">
            <w:pPr>
              <w:rPr>
                <w:sz w:val="20"/>
                <w:szCs w:val="20"/>
              </w:rPr>
            </w:pPr>
          </w:p>
        </w:tc>
        <w:tc>
          <w:tcPr>
            <w:tcW w:w="880" w:type="dxa"/>
            <w:noWrap/>
            <w:vAlign w:val="bottom"/>
            <w:hideMark/>
          </w:tcPr>
          <w:p w14:paraId="005F7A8F" w14:textId="77777777" w:rsidR="00304A89" w:rsidRDefault="00304A89">
            <w:pPr>
              <w:rPr>
                <w:sz w:val="20"/>
                <w:szCs w:val="20"/>
              </w:rPr>
            </w:pPr>
          </w:p>
        </w:tc>
      </w:tr>
      <w:tr w:rsidR="00304A89" w14:paraId="162FA762" w14:textId="77777777" w:rsidTr="00435BA6">
        <w:trPr>
          <w:trHeight w:val="288"/>
        </w:trPr>
        <w:tc>
          <w:tcPr>
            <w:tcW w:w="4720" w:type="dxa"/>
            <w:noWrap/>
            <w:vAlign w:val="bottom"/>
            <w:hideMark/>
          </w:tcPr>
          <w:p w14:paraId="531C092B" w14:textId="77777777" w:rsidR="00304A89" w:rsidRDefault="00304A89">
            <w:pPr>
              <w:rPr>
                <w:sz w:val="20"/>
                <w:szCs w:val="20"/>
              </w:rPr>
            </w:pPr>
          </w:p>
        </w:tc>
        <w:tc>
          <w:tcPr>
            <w:tcW w:w="1660" w:type="dxa"/>
            <w:noWrap/>
            <w:vAlign w:val="bottom"/>
            <w:hideMark/>
          </w:tcPr>
          <w:p w14:paraId="7598AB95" w14:textId="77777777" w:rsidR="00304A89" w:rsidRDefault="00304A89">
            <w:pPr>
              <w:rPr>
                <w:sz w:val="20"/>
                <w:szCs w:val="20"/>
              </w:rPr>
            </w:pPr>
          </w:p>
        </w:tc>
        <w:tc>
          <w:tcPr>
            <w:tcW w:w="160" w:type="dxa"/>
            <w:noWrap/>
            <w:vAlign w:val="bottom"/>
            <w:hideMark/>
          </w:tcPr>
          <w:p w14:paraId="7CFB61B8" w14:textId="77777777" w:rsidR="00304A89" w:rsidRDefault="00304A89">
            <w:pPr>
              <w:rPr>
                <w:sz w:val="20"/>
                <w:szCs w:val="20"/>
              </w:rPr>
            </w:pPr>
          </w:p>
        </w:tc>
        <w:tc>
          <w:tcPr>
            <w:tcW w:w="3320" w:type="dxa"/>
            <w:gridSpan w:val="4"/>
            <w:tcBorders>
              <w:top w:val="single" w:sz="8" w:space="0" w:color="auto"/>
              <w:left w:val="single" w:sz="8" w:space="0" w:color="auto"/>
              <w:bottom w:val="single" w:sz="4" w:space="0" w:color="auto"/>
              <w:right w:val="single" w:sz="8" w:space="0" w:color="000000"/>
            </w:tcBorders>
            <w:noWrap/>
            <w:vAlign w:val="bottom"/>
            <w:hideMark/>
          </w:tcPr>
          <w:p w14:paraId="52E0D3F1" w14:textId="77777777" w:rsidR="00304A89" w:rsidRDefault="00304A89">
            <w:pPr>
              <w:jc w:val="center"/>
              <w:rPr>
                <w:rFonts w:ascii="Verdana" w:hAnsi="Verdana"/>
                <w:color w:val="000000"/>
                <w:sz w:val="16"/>
                <w:szCs w:val="16"/>
              </w:rPr>
            </w:pPr>
            <w:r>
              <w:rPr>
                <w:rFonts w:ascii="Verdana" w:hAnsi="Verdana"/>
                <w:color w:val="000000"/>
                <w:sz w:val="16"/>
                <w:szCs w:val="16"/>
              </w:rPr>
              <w:t>Měsíce</w:t>
            </w:r>
          </w:p>
        </w:tc>
      </w:tr>
      <w:tr w:rsidR="00304A89" w14:paraId="27F1790E" w14:textId="77777777" w:rsidTr="00435BA6">
        <w:trPr>
          <w:trHeight w:val="420"/>
        </w:trPr>
        <w:tc>
          <w:tcPr>
            <w:tcW w:w="4720" w:type="dxa"/>
            <w:tcBorders>
              <w:top w:val="single" w:sz="8" w:space="0" w:color="auto"/>
              <w:left w:val="single" w:sz="8" w:space="0" w:color="auto"/>
              <w:bottom w:val="single" w:sz="4" w:space="0" w:color="auto"/>
              <w:right w:val="single" w:sz="4" w:space="0" w:color="auto"/>
            </w:tcBorders>
            <w:noWrap/>
            <w:vAlign w:val="bottom"/>
            <w:hideMark/>
          </w:tcPr>
          <w:p w14:paraId="3D35247B" w14:textId="77777777" w:rsidR="00304A89" w:rsidRDefault="00304A89">
            <w:pPr>
              <w:rPr>
                <w:rFonts w:ascii="Verdana" w:hAnsi="Verdana"/>
                <w:color w:val="000000"/>
                <w:sz w:val="16"/>
                <w:szCs w:val="16"/>
              </w:rPr>
            </w:pPr>
            <w:r>
              <w:rPr>
                <w:rFonts w:ascii="Verdana" w:hAnsi="Verdana"/>
                <w:color w:val="000000"/>
                <w:sz w:val="16"/>
                <w:szCs w:val="16"/>
              </w:rPr>
              <w:t>Typ vlaku</w:t>
            </w:r>
          </w:p>
        </w:tc>
        <w:tc>
          <w:tcPr>
            <w:tcW w:w="1660" w:type="dxa"/>
            <w:tcBorders>
              <w:top w:val="single" w:sz="8" w:space="0" w:color="auto"/>
              <w:left w:val="nil"/>
              <w:bottom w:val="single" w:sz="4" w:space="0" w:color="auto"/>
              <w:right w:val="single" w:sz="8" w:space="0" w:color="auto"/>
            </w:tcBorders>
            <w:vAlign w:val="bottom"/>
            <w:hideMark/>
          </w:tcPr>
          <w:p w14:paraId="3AC56045" w14:textId="77777777" w:rsidR="00304A89" w:rsidRDefault="00304A89">
            <w:pPr>
              <w:rPr>
                <w:rFonts w:ascii="Verdana" w:hAnsi="Verdana"/>
                <w:color w:val="000000"/>
                <w:sz w:val="16"/>
                <w:szCs w:val="16"/>
              </w:rPr>
            </w:pPr>
            <w:r>
              <w:rPr>
                <w:rFonts w:ascii="Verdana" w:hAnsi="Verdana"/>
                <w:color w:val="000000"/>
                <w:sz w:val="16"/>
                <w:szCs w:val="16"/>
              </w:rPr>
              <w:t xml:space="preserve">Měrná spotřeba EE [kWh/tis. </w:t>
            </w:r>
            <w:proofErr w:type="spellStart"/>
            <w:r>
              <w:rPr>
                <w:rFonts w:ascii="Verdana" w:hAnsi="Verdana"/>
                <w:color w:val="000000"/>
                <w:sz w:val="16"/>
                <w:szCs w:val="16"/>
              </w:rPr>
              <w:t>hrtkm</w:t>
            </w:r>
            <w:proofErr w:type="spellEnd"/>
            <w:r>
              <w:rPr>
                <w:rFonts w:ascii="Verdana" w:hAnsi="Verdana"/>
                <w:color w:val="000000"/>
                <w:sz w:val="16"/>
                <w:szCs w:val="16"/>
              </w:rPr>
              <w:t>]</w:t>
            </w:r>
          </w:p>
        </w:tc>
        <w:tc>
          <w:tcPr>
            <w:tcW w:w="160" w:type="dxa"/>
            <w:noWrap/>
            <w:vAlign w:val="bottom"/>
            <w:hideMark/>
          </w:tcPr>
          <w:p w14:paraId="410B0BE3" w14:textId="77777777" w:rsidR="00304A89" w:rsidRDefault="00304A89">
            <w:pPr>
              <w:rPr>
                <w:sz w:val="20"/>
                <w:szCs w:val="20"/>
              </w:rPr>
            </w:pPr>
          </w:p>
        </w:tc>
        <w:tc>
          <w:tcPr>
            <w:tcW w:w="840" w:type="dxa"/>
            <w:tcBorders>
              <w:top w:val="nil"/>
              <w:left w:val="single" w:sz="8" w:space="0" w:color="auto"/>
              <w:bottom w:val="single" w:sz="4" w:space="0" w:color="auto"/>
              <w:right w:val="single" w:sz="4" w:space="0" w:color="auto"/>
            </w:tcBorders>
            <w:vAlign w:val="bottom"/>
            <w:hideMark/>
          </w:tcPr>
          <w:p w14:paraId="5FD3CE9E" w14:textId="77777777" w:rsidR="00304A89" w:rsidRDefault="00304A89">
            <w:pPr>
              <w:rPr>
                <w:rFonts w:ascii="Verdana" w:hAnsi="Verdana"/>
                <w:color w:val="000000"/>
                <w:sz w:val="16"/>
                <w:szCs w:val="16"/>
              </w:rPr>
            </w:pPr>
            <w:r>
              <w:rPr>
                <w:rFonts w:ascii="Verdana" w:hAnsi="Verdana"/>
                <w:color w:val="000000"/>
                <w:sz w:val="16"/>
                <w:szCs w:val="16"/>
              </w:rPr>
              <w:t>prosinec - únor</w:t>
            </w:r>
          </w:p>
        </w:tc>
        <w:tc>
          <w:tcPr>
            <w:tcW w:w="840" w:type="dxa"/>
            <w:tcBorders>
              <w:top w:val="nil"/>
              <w:left w:val="nil"/>
              <w:bottom w:val="single" w:sz="4" w:space="0" w:color="auto"/>
              <w:right w:val="single" w:sz="4" w:space="0" w:color="auto"/>
            </w:tcBorders>
            <w:vAlign w:val="bottom"/>
            <w:hideMark/>
          </w:tcPr>
          <w:p w14:paraId="5BAA645B" w14:textId="77777777" w:rsidR="00304A89" w:rsidRDefault="00304A89">
            <w:pPr>
              <w:rPr>
                <w:rFonts w:ascii="Verdana" w:hAnsi="Verdana"/>
                <w:color w:val="000000"/>
                <w:sz w:val="16"/>
                <w:szCs w:val="16"/>
              </w:rPr>
            </w:pPr>
            <w:r>
              <w:rPr>
                <w:rFonts w:ascii="Verdana" w:hAnsi="Verdana"/>
                <w:color w:val="000000"/>
                <w:sz w:val="16"/>
                <w:szCs w:val="16"/>
              </w:rPr>
              <w:t>březen - květen</w:t>
            </w:r>
          </w:p>
        </w:tc>
        <w:tc>
          <w:tcPr>
            <w:tcW w:w="760" w:type="dxa"/>
            <w:tcBorders>
              <w:top w:val="nil"/>
              <w:left w:val="nil"/>
              <w:bottom w:val="single" w:sz="4" w:space="0" w:color="auto"/>
              <w:right w:val="single" w:sz="4" w:space="0" w:color="auto"/>
            </w:tcBorders>
            <w:vAlign w:val="bottom"/>
            <w:hideMark/>
          </w:tcPr>
          <w:p w14:paraId="32D8D28C" w14:textId="77777777" w:rsidR="00304A89" w:rsidRDefault="00304A89">
            <w:pPr>
              <w:rPr>
                <w:rFonts w:ascii="Verdana" w:hAnsi="Verdana"/>
                <w:color w:val="000000"/>
                <w:sz w:val="16"/>
                <w:szCs w:val="16"/>
              </w:rPr>
            </w:pPr>
            <w:r>
              <w:rPr>
                <w:rFonts w:ascii="Verdana" w:hAnsi="Verdana"/>
                <w:color w:val="000000"/>
                <w:sz w:val="16"/>
                <w:szCs w:val="16"/>
              </w:rPr>
              <w:t>červen - srpen</w:t>
            </w:r>
          </w:p>
        </w:tc>
        <w:tc>
          <w:tcPr>
            <w:tcW w:w="880" w:type="dxa"/>
            <w:tcBorders>
              <w:top w:val="nil"/>
              <w:left w:val="nil"/>
              <w:bottom w:val="single" w:sz="4" w:space="0" w:color="auto"/>
              <w:right w:val="single" w:sz="8" w:space="0" w:color="auto"/>
            </w:tcBorders>
            <w:vAlign w:val="bottom"/>
            <w:hideMark/>
          </w:tcPr>
          <w:p w14:paraId="43121662" w14:textId="77777777" w:rsidR="00304A89" w:rsidRDefault="00304A89">
            <w:pPr>
              <w:rPr>
                <w:rFonts w:ascii="Verdana" w:hAnsi="Verdana"/>
                <w:color w:val="000000"/>
                <w:sz w:val="16"/>
                <w:szCs w:val="16"/>
              </w:rPr>
            </w:pPr>
            <w:r>
              <w:rPr>
                <w:rFonts w:ascii="Verdana" w:hAnsi="Verdana"/>
                <w:color w:val="000000"/>
                <w:sz w:val="16"/>
                <w:szCs w:val="16"/>
              </w:rPr>
              <w:t>září - listopad</w:t>
            </w:r>
          </w:p>
        </w:tc>
      </w:tr>
      <w:tr w:rsidR="00304A89" w14:paraId="1F3B344B" w14:textId="77777777" w:rsidTr="00435BA6">
        <w:trPr>
          <w:trHeight w:val="276"/>
        </w:trPr>
        <w:tc>
          <w:tcPr>
            <w:tcW w:w="4720" w:type="dxa"/>
            <w:tcBorders>
              <w:top w:val="nil"/>
              <w:left w:val="single" w:sz="8" w:space="0" w:color="auto"/>
              <w:bottom w:val="single" w:sz="4" w:space="0" w:color="auto"/>
              <w:right w:val="single" w:sz="4" w:space="0" w:color="auto"/>
            </w:tcBorders>
            <w:noWrap/>
            <w:vAlign w:val="bottom"/>
            <w:hideMark/>
          </w:tcPr>
          <w:p w14:paraId="75BDE48D" w14:textId="77777777" w:rsidR="00304A89" w:rsidRDefault="00304A89">
            <w:pPr>
              <w:rPr>
                <w:rFonts w:ascii="Verdana" w:hAnsi="Verdana"/>
                <w:color w:val="000000"/>
                <w:sz w:val="16"/>
                <w:szCs w:val="16"/>
              </w:rPr>
            </w:pPr>
            <w:r>
              <w:rPr>
                <w:rFonts w:ascii="Verdana" w:hAnsi="Verdana"/>
                <w:color w:val="000000"/>
                <w:sz w:val="16"/>
                <w:szCs w:val="16"/>
              </w:rPr>
              <w:t xml:space="preserve">Vlaky Ex a R (SC, EC, IC, Ex, R, </w:t>
            </w:r>
            <w:proofErr w:type="spellStart"/>
            <w:r>
              <w:rPr>
                <w:rFonts w:ascii="Verdana" w:hAnsi="Verdana"/>
                <w:color w:val="000000"/>
                <w:sz w:val="16"/>
                <w:szCs w:val="16"/>
              </w:rPr>
              <w:t>Sp</w:t>
            </w:r>
            <w:proofErr w:type="spellEnd"/>
            <w:r>
              <w:rPr>
                <w:rFonts w:ascii="Verdana" w:hAnsi="Verdana"/>
                <w:color w:val="000000"/>
                <w:sz w:val="16"/>
                <w:szCs w:val="16"/>
              </w:rPr>
              <w:t xml:space="preserve">, </w:t>
            </w:r>
            <w:proofErr w:type="spellStart"/>
            <w:r>
              <w:rPr>
                <w:rFonts w:ascii="Verdana" w:hAnsi="Verdana"/>
                <w:color w:val="000000"/>
                <w:sz w:val="16"/>
                <w:szCs w:val="16"/>
              </w:rPr>
              <w:t>Sv</w:t>
            </w:r>
            <w:proofErr w:type="spellEnd"/>
            <w:r>
              <w:rPr>
                <w:rFonts w:ascii="Verdana" w:hAnsi="Verdana"/>
                <w:color w:val="000000"/>
                <w:sz w:val="16"/>
                <w:szCs w:val="16"/>
              </w:rPr>
              <w:t>)</w:t>
            </w:r>
          </w:p>
        </w:tc>
        <w:tc>
          <w:tcPr>
            <w:tcW w:w="1660" w:type="dxa"/>
            <w:tcBorders>
              <w:top w:val="nil"/>
              <w:left w:val="nil"/>
              <w:bottom w:val="single" w:sz="4" w:space="0" w:color="auto"/>
              <w:right w:val="single" w:sz="8" w:space="0" w:color="auto"/>
            </w:tcBorders>
            <w:noWrap/>
            <w:vAlign w:val="bottom"/>
            <w:hideMark/>
          </w:tcPr>
          <w:p w14:paraId="10F5E698" w14:textId="77777777" w:rsidR="00304A89" w:rsidRDefault="00304A89">
            <w:pPr>
              <w:jc w:val="center"/>
              <w:rPr>
                <w:rFonts w:ascii="Verdana" w:hAnsi="Verdana"/>
                <w:color w:val="000000"/>
                <w:sz w:val="16"/>
                <w:szCs w:val="16"/>
              </w:rPr>
            </w:pPr>
            <w:r>
              <w:rPr>
                <w:rFonts w:ascii="Verdana" w:hAnsi="Verdana"/>
                <w:color w:val="000000"/>
                <w:sz w:val="16"/>
                <w:szCs w:val="16"/>
              </w:rPr>
              <w:t>23,3</w:t>
            </w:r>
          </w:p>
        </w:tc>
        <w:tc>
          <w:tcPr>
            <w:tcW w:w="160" w:type="dxa"/>
            <w:noWrap/>
            <w:vAlign w:val="bottom"/>
            <w:hideMark/>
          </w:tcPr>
          <w:p w14:paraId="449C01F3" w14:textId="77777777" w:rsidR="00304A89" w:rsidRDefault="00304A89">
            <w:pPr>
              <w:rPr>
                <w:sz w:val="20"/>
                <w:szCs w:val="20"/>
              </w:rPr>
            </w:pPr>
          </w:p>
        </w:tc>
        <w:tc>
          <w:tcPr>
            <w:tcW w:w="840" w:type="dxa"/>
            <w:tcBorders>
              <w:top w:val="nil"/>
              <w:left w:val="single" w:sz="8" w:space="0" w:color="auto"/>
              <w:bottom w:val="single" w:sz="4" w:space="0" w:color="auto"/>
              <w:right w:val="single" w:sz="4" w:space="0" w:color="auto"/>
            </w:tcBorders>
            <w:noWrap/>
            <w:vAlign w:val="bottom"/>
            <w:hideMark/>
          </w:tcPr>
          <w:p w14:paraId="3003B1FA" w14:textId="77777777" w:rsidR="00304A89" w:rsidRDefault="00304A89">
            <w:pPr>
              <w:jc w:val="right"/>
              <w:rPr>
                <w:rFonts w:ascii="Verdana" w:hAnsi="Verdana"/>
                <w:color w:val="000000"/>
                <w:sz w:val="16"/>
                <w:szCs w:val="16"/>
              </w:rPr>
            </w:pPr>
            <w:r>
              <w:rPr>
                <w:rFonts w:ascii="Verdana" w:hAnsi="Verdana"/>
                <w:color w:val="000000"/>
                <w:sz w:val="16"/>
                <w:szCs w:val="16"/>
              </w:rPr>
              <w:t>1,03</w:t>
            </w:r>
          </w:p>
        </w:tc>
        <w:tc>
          <w:tcPr>
            <w:tcW w:w="840" w:type="dxa"/>
            <w:tcBorders>
              <w:top w:val="nil"/>
              <w:left w:val="nil"/>
              <w:bottom w:val="single" w:sz="4" w:space="0" w:color="auto"/>
              <w:right w:val="single" w:sz="4" w:space="0" w:color="auto"/>
            </w:tcBorders>
            <w:noWrap/>
            <w:vAlign w:val="bottom"/>
            <w:hideMark/>
          </w:tcPr>
          <w:p w14:paraId="18CF907A" w14:textId="77777777" w:rsidR="00304A89" w:rsidRDefault="00304A89">
            <w:pPr>
              <w:jc w:val="right"/>
              <w:rPr>
                <w:rFonts w:ascii="Verdana" w:hAnsi="Verdana"/>
                <w:color w:val="000000"/>
                <w:sz w:val="16"/>
                <w:szCs w:val="16"/>
              </w:rPr>
            </w:pPr>
            <w:r>
              <w:rPr>
                <w:rFonts w:ascii="Verdana" w:hAnsi="Verdana"/>
                <w:color w:val="000000"/>
                <w:sz w:val="16"/>
                <w:szCs w:val="16"/>
              </w:rPr>
              <w:t>1</w:t>
            </w:r>
          </w:p>
        </w:tc>
        <w:tc>
          <w:tcPr>
            <w:tcW w:w="760" w:type="dxa"/>
            <w:tcBorders>
              <w:top w:val="nil"/>
              <w:left w:val="nil"/>
              <w:bottom w:val="single" w:sz="4" w:space="0" w:color="auto"/>
              <w:right w:val="single" w:sz="4" w:space="0" w:color="auto"/>
            </w:tcBorders>
            <w:noWrap/>
            <w:vAlign w:val="bottom"/>
            <w:hideMark/>
          </w:tcPr>
          <w:p w14:paraId="6DE644D3" w14:textId="77777777" w:rsidR="00304A89" w:rsidRDefault="00304A89">
            <w:pPr>
              <w:jc w:val="right"/>
              <w:rPr>
                <w:rFonts w:ascii="Verdana" w:hAnsi="Verdana"/>
                <w:color w:val="000000"/>
                <w:sz w:val="16"/>
                <w:szCs w:val="16"/>
              </w:rPr>
            </w:pPr>
            <w:r>
              <w:rPr>
                <w:rFonts w:ascii="Verdana" w:hAnsi="Verdana"/>
                <w:color w:val="000000"/>
                <w:sz w:val="16"/>
                <w:szCs w:val="16"/>
              </w:rPr>
              <w:t>1</w:t>
            </w:r>
          </w:p>
        </w:tc>
        <w:tc>
          <w:tcPr>
            <w:tcW w:w="880" w:type="dxa"/>
            <w:tcBorders>
              <w:top w:val="nil"/>
              <w:left w:val="nil"/>
              <w:bottom w:val="single" w:sz="4" w:space="0" w:color="auto"/>
              <w:right w:val="single" w:sz="8" w:space="0" w:color="auto"/>
            </w:tcBorders>
            <w:noWrap/>
            <w:vAlign w:val="bottom"/>
            <w:hideMark/>
          </w:tcPr>
          <w:p w14:paraId="35EB4ECF" w14:textId="77777777" w:rsidR="00304A89" w:rsidRDefault="00304A89">
            <w:pPr>
              <w:jc w:val="right"/>
              <w:rPr>
                <w:rFonts w:ascii="Verdana" w:hAnsi="Verdana"/>
                <w:color w:val="000000"/>
                <w:sz w:val="16"/>
                <w:szCs w:val="16"/>
              </w:rPr>
            </w:pPr>
            <w:r>
              <w:rPr>
                <w:rFonts w:ascii="Verdana" w:hAnsi="Verdana"/>
                <w:color w:val="000000"/>
                <w:sz w:val="16"/>
                <w:szCs w:val="16"/>
              </w:rPr>
              <w:t>1,02</w:t>
            </w:r>
          </w:p>
        </w:tc>
      </w:tr>
      <w:tr w:rsidR="00304A89" w14:paraId="39E095BC" w14:textId="77777777" w:rsidTr="00435BA6">
        <w:trPr>
          <w:trHeight w:val="276"/>
        </w:trPr>
        <w:tc>
          <w:tcPr>
            <w:tcW w:w="4720" w:type="dxa"/>
            <w:tcBorders>
              <w:top w:val="nil"/>
              <w:left w:val="single" w:sz="8" w:space="0" w:color="auto"/>
              <w:bottom w:val="single" w:sz="4" w:space="0" w:color="auto"/>
              <w:right w:val="single" w:sz="4" w:space="0" w:color="auto"/>
            </w:tcBorders>
            <w:noWrap/>
            <w:vAlign w:val="bottom"/>
            <w:hideMark/>
          </w:tcPr>
          <w:p w14:paraId="3D51D399" w14:textId="77777777" w:rsidR="00304A89" w:rsidRDefault="00304A89">
            <w:pPr>
              <w:rPr>
                <w:rFonts w:ascii="Verdana" w:hAnsi="Verdana"/>
                <w:color w:val="000000"/>
                <w:sz w:val="16"/>
                <w:szCs w:val="16"/>
              </w:rPr>
            </w:pPr>
            <w:r>
              <w:rPr>
                <w:rFonts w:ascii="Verdana" w:hAnsi="Verdana"/>
                <w:color w:val="000000"/>
                <w:sz w:val="16"/>
                <w:szCs w:val="16"/>
              </w:rPr>
              <w:t>Vlaky Os (</w:t>
            </w:r>
            <w:proofErr w:type="spellStart"/>
            <w:r>
              <w:rPr>
                <w:rFonts w:ascii="Verdana" w:hAnsi="Verdana"/>
                <w:color w:val="000000"/>
                <w:sz w:val="16"/>
                <w:szCs w:val="16"/>
              </w:rPr>
              <w:t>zast</w:t>
            </w:r>
            <w:proofErr w:type="spellEnd"/>
            <w:r>
              <w:rPr>
                <w:rFonts w:ascii="Verdana" w:hAnsi="Verdana"/>
                <w:color w:val="000000"/>
                <w:sz w:val="16"/>
                <w:szCs w:val="16"/>
              </w:rPr>
              <w:t xml:space="preserve">. Os.  </w:t>
            </w:r>
            <w:proofErr w:type="gramStart"/>
            <w:r>
              <w:rPr>
                <w:rFonts w:ascii="Verdana" w:hAnsi="Verdana"/>
                <w:color w:val="000000"/>
                <w:sz w:val="16"/>
                <w:szCs w:val="16"/>
              </w:rPr>
              <w:t>vlaky</w:t>
            </w:r>
            <w:proofErr w:type="gramEnd"/>
            <w:r>
              <w:rPr>
                <w:rFonts w:ascii="Verdana" w:hAnsi="Verdana"/>
                <w:color w:val="000000"/>
                <w:sz w:val="16"/>
                <w:szCs w:val="16"/>
              </w:rPr>
              <w:t>, ostatní vlaky osobní dopravy)</w:t>
            </w:r>
          </w:p>
        </w:tc>
        <w:tc>
          <w:tcPr>
            <w:tcW w:w="1660" w:type="dxa"/>
            <w:tcBorders>
              <w:top w:val="nil"/>
              <w:left w:val="nil"/>
              <w:bottom w:val="single" w:sz="4" w:space="0" w:color="auto"/>
              <w:right w:val="single" w:sz="8" w:space="0" w:color="auto"/>
            </w:tcBorders>
            <w:noWrap/>
            <w:vAlign w:val="bottom"/>
            <w:hideMark/>
          </w:tcPr>
          <w:p w14:paraId="072F70D3" w14:textId="77777777" w:rsidR="00304A89" w:rsidRDefault="00304A89">
            <w:pPr>
              <w:jc w:val="center"/>
              <w:rPr>
                <w:rFonts w:ascii="Verdana" w:hAnsi="Verdana"/>
                <w:color w:val="000000"/>
                <w:sz w:val="16"/>
                <w:szCs w:val="16"/>
              </w:rPr>
            </w:pPr>
            <w:r>
              <w:rPr>
                <w:rFonts w:ascii="Verdana" w:hAnsi="Verdana"/>
                <w:color w:val="000000"/>
                <w:sz w:val="16"/>
                <w:szCs w:val="16"/>
              </w:rPr>
              <w:t>33,5</w:t>
            </w:r>
          </w:p>
        </w:tc>
        <w:tc>
          <w:tcPr>
            <w:tcW w:w="160" w:type="dxa"/>
            <w:noWrap/>
            <w:vAlign w:val="bottom"/>
            <w:hideMark/>
          </w:tcPr>
          <w:p w14:paraId="4207F2C5" w14:textId="77777777" w:rsidR="00304A89" w:rsidRDefault="00304A89">
            <w:pPr>
              <w:rPr>
                <w:sz w:val="20"/>
                <w:szCs w:val="20"/>
              </w:rPr>
            </w:pPr>
          </w:p>
        </w:tc>
        <w:tc>
          <w:tcPr>
            <w:tcW w:w="840" w:type="dxa"/>
            <w:tcBorders>
              <w:top w:val="nil"/>
              <w:left w:val="single" w:sz="8" w:space="0" w:color="auto"/>
              <w:bottom w:val="single" w:sz="4" w:space="0" w:color="auto"/>
              <w:right w:val="single" w:sz="4" w:space="0" w:color="auto"/>
            </w:tcBorders>
            <w:noWrap/>
            <w:vAlign w:val="bottom"/>
            <w:hideMark/>
          </w:tcPr>
          <w:p w14:paraId="45F9382C" w14:textId="77777777" w:rsidR="00304A89" w:rsidRDefault="00304A89">
            <w:pPr>
              <w:jc w:val="right"/>
              <w:rPr>
                <w:rFonts w:ascii="Verdana" w:hAnsi="Verdana"/>
                <w:color w:val="000000"/>
                <w:sz w:val="16"/>
                <w:szCs w:val="16"/>
              </w:rPr>
            </w:pPr>
            <w:r>
              <w:rPr>
                <w:rFonts w:ascii="Verdana" w:hAnsi="Verdana"/>
                <w:color w:val="000000"/>
                <w:sz w:val="16"/>
                <w:szCs w:val="16"/>
              </w:rPr>
              <w:t>1,03</w:t>
            </w:r>
          </w:p>
        </w:tc>
        <w:tc>
          <w:tcPr>
            <w:tcW w:w="840" w:type="dxa"/>
            <w:tcBorders>
              <w:top w:val="nil"/>
              <w:left w:val="nil"/>
              <w:bottom w:val="single" w:sz="4" w:space="0" w:color="auto"/>
              <w:right w:val="single" w:sz="4" w:space="0" w:color="auto"/>
            </w:tcBorders>
            <w:noWrap/>
            <w:vAlign w:val="bottom"/>
            <w:hideMark/>
          </w:tcPr>
          <w:p w14:paraId="04ECCA34" w14:textId="77777777" w:rsidR="00304A89" w:rsidRDefault="00304A89">
            <w:pPr>
              <w:jc w:val="right"/>
              <w:rPr>
                <w:rFonts w:ascii="Verdana" w:hAnsi="Verdana"/>
                <w:color w:val="000000"/>
                <w:sz w:val="16"/>
                <w:szCs w:val="16"/>
              </w:rPr>
            </w:pPr>
            <w:r>
              <w:rPr>
                <w:rFonts w:ascii="Verdana" w:hAnsi="Verdana"/>
                <w:color w:val="000000"/>
                <w:sz w:val="16"/>
                <w:szCs w:val="16"/>
              </w:rPr>
              <w:t>1</w:t>
            </w:r>
          </w:p>
        </w:tc>
        <w:tc>
          <w:tcPr>
            <w:tcW w:w="760" w:type="dxa"/>
            <w:tcBorders>
              <w:top w:val="nil"/>
              <w:left w:val="nil"/>
              <w:bottom w:val="single" w:sz="4" w:space="0" w:color="auto"/>
              <w:right w:val="single" w:sz="4" w:space="0" w:color="auto"/>
            </w:tcBorders>
            <w:noWrap/>
            <w:vAlign w:val="bottom"/>
            <w:hideMark/>
          </w:tcPr>
          <w:p w14:paraId="0B15D4AE" w14:textId="77777777" w:rsidR="00304A89" w:rsidRDefault="00304A89">
            <w:pPr>
              <w:jc w:val="right"/>
              <w:rPr>
                <w:rFonts w:ascii="Verdana" w:hAnsi="Verdana"/>
                <w:color w:val="000000"/>
                <w:sz w:val="16"/>
                <w:szCs w:val="16"/>
              </w:rPr>
            </w:pPr>
            <w:r>
              <w:rPr>
                <w:rFonts w:ascii="Verdana" w:hAnsi="Verdana"/>
                <w:color w:val="000000"/>
                <w:sz w:val="16"/>
                <w:szCs w:val="16"/>
              </w:rPr>
              <w:t>1</w:t>
            </w:r>
          </w:p>
        </w:tc>
        <w:tc>
          <w:tcPr>
            <w:tcW w:w="880" w:type="dxa"/>
            <w:tcBorders>
              <w:top w:val="nil"/>
              <w:left w:val="nil"/>
              <w:bottom w:val="single" w:sz="4" w:space="0" w:color="auto"/>
              <w:right w:val="single" w:sz="8" w:space="0" w:color="auto"/>
            </w:tcBorders>
            <w:noWrap/>
            <w:vAlign w:val="bottom"/>
            <w:hideMark/>
          </w:tcPr>
          <w:p w14:paraId="5F8CDBFE" w14:textId="77777777" w:rsidR="00304A89" w:rsidRDefault="00304A89">
            <w:pPr>
              <w:jc w:val="right"/>
              <w:rPr>
                <w:rFonts w:ascii="Verdana" w:hAnsi="Verdana"/>
                <w:color w:val="000000"/>
                <w:sz w:val="16"/>
                <w:szCs w:val="16"/>
              </w:rPr>
            </w:pPr>
            <w:r>
              <w:rPr>
                <w:rFonts w:ascii="Verdana" w:hAnsi="Verdana"/>
                <w:color w:val="000000"/>
                <w:sz w:val="16"/>
                <w:szCs w:val="16"/>
              </w:rPr>
              <w:t>1,02</w:t>
            </w:r>
          </w:p>
        </w:tc>
      </w:tr>
      <w:tr w:rsidR="00304A89" w14:paraId="73B802AB" w14:textId="77777777" w:rsidTr="00435BA6">
        <w:trPr>
          <w:trHeight w:val="276"/>
        </w:trPr>
        <w:tc>
          <w:tcPr>
            <w:tcW w:w="4720" w:type="dxa"/>
            <w:tcBorders>
              <w:top w:val="nil"/>
              <w:left w:val="single" w:sz="8" w:space="0" w:color="auto"/>
              <w:bottom w:val="single" w:sz="4" w:space="0" w:color="auto"/>
              <w:right w:val="single" w:sz="4" w:space="0" w:color="auto"/>
            </w:tcBorders>
            <w:noWrap/>
            <w:vAlign w:val="bottom"/>
            <w:hideMark/>
          </w:tcPr>
          <w:p w14:paraId="77DD2DCD" w14:textId="77777777" w:rsidR="00304A89" w:rsidRDefault="00304A89">
            <w:pPr>
              <w:rPr>
                <w:rFonts w:ascii="Verdana" w:hAnsi="Verdana"/>
                <w:color w:val="000000"/>
                <w:sz w:val="16"/>
                <w:szCs w:val="16"/>
              </w:rPr>
            </w:pPr>
            <w:r>
              <w:rPr>
                <w:rFonts w:ascii="Verdana" w:hAnsi="Verdana"/>
                <w:color w:val="000000"/>
                <w:sz w:val="16"/>
                <w:szCs w:val="16"/>
              </w:rPr>
              <w:t xml:space="preserve">Vlaky nákladní (Nex, </w:t>
            </w:r>
            <w:proofErr w:type="spellStart"/>
            <w:r>
              <w:rPr>
                <w:rFonts w:ascii="Verdana" w:hAnsi="Verdana"/>
                <w:color w:val="000000"/>
                <w:sz w:val="16"/>
                <w:szCs w:val="16"/>
              </w:rPr>
              <w:t>Rn</w:t>
            </w:r>
            <w:proofErr w:type="spellEnd"/>
            <w:r>
              <w:rPr>
                <w:rFonts w:ascii="Verdana" w:hAnsi="Verdana"/>
                <w:color w:val="000000"/>
                <w:sz w:val="16"/>
                <w:szCs w:val="16"/>
              </w:rPr>
              <w:t xml:space="preserve">, </w:t>
            </w:r>
            <w:proofErr w:type="spellStart"/>
            <w:r>
              <w:rPr>
                <w:rFonts w:ascii="Verdana" w:hAnsi="Verdana"/>
                <w:color w:val="000000"/>
                <w:sz w:val="16"/>
                <w:szCs w:val="16"/>
              </w:rPr>
              <w:t>Pn</w:t>
            </w:r>
            <w:proofErr w:type="spellEnd"/>
            <w:r>
              <w:rPr>
                <w:rFonts w:ascii="Verdana" w:hAnsi="Verdana"/>
                <w:color w:val="000000"/>
                <w:sz w:val="16"/>
                <w:szCs w:val="16"/>
              </w:rPr>
              <w:t xml:space="preserve">, </w:t>
            </w:r>
            <w:proofErr w:type="spellStart"/>
            <w:r>
              <w:rPr>
                <w:rFonts w:ascii="Verdana" w:hAnsi="Verdana"/>
                <w:color w:val="000000"/>
                <w:sz w:val="16"/>
                <w:szCs w:val="16"/>
              </w:rPr>
              <w:t>Vn</w:t>
            </w:r>
            <w:proofErr w:type="spellEnd"/>
            <w:r>
              <w:rPr>
                <w:rFonts w:ascii="Verdana" w:hAnsi="Verdana"/>
                <w:color w:val="000000"/>
                <w:sz w:val="16"/>
                <w:szCs w:val="16"/>
              </w:rPr>
              <w:t xml:space="preserve">, </w:t>
            </w:r>
            <w:proofErr w:type="spellStart"/>
            <w:r>
              <w:rPr>
                <w:rFonts w:ascii="Verdana" w:hAnsi="Verdana"/>
                <w:color w:val="000000"/>
                <w:sz w:val="16"/>
                <w:szCs w:val="16"/>
              </w:rPr>
              <w:t>Mn+Vleč</w:t>
            </w:r>
            <w:proofErr w:type="spellEnd"/>
            <w:r>
              <w:rPr>
                <w:rFonts w:ascii="Verdana" w:hAnsi="Verdana"/>
                <w:color w:val="000000"/>
                <w:sz w:val="16"/>
                <w:szCs w:val="16"/>
              </w:rPr>
              <w:t>)</w:t>
            </w:r>
          </w:p>
        </w:tc>
        <w:tc>
          <w:tcPr>
            <w:tcW w:w="1660" w:type="dxa"/>
            <w:tcBorders>
              <w:top w:val="nil"/>
              <w:left w:val="nil"/>
              <w:bottom w:val="single" w:sz="4" w:space="0" w:color="auto"/>
              <w:right w:val="single" w:sz="8" w:space="0" w:color="auto"/>
            </w:tcBorders>
            <w:noWrap/>
            <w:vAlign w:val="bottom"/>
            <w:hideMark/>
          </w:tcPr>
          <w:p w14:paraId="7B330FE0" w14:textId="77777777" w:rsidR="00304A89" w:rsidRDefault="00304A89">
            <w:pPr>
              <w:jc w:val="center"/>
              <w:rPr>
                <w:rFonts w:ascii="Verdana" w:hAnsi="Verdana"/>
                <w:color w:val="000000"/>
                <w:sz w:val="16"/>
                <w:szCs w:val="16"/>
              </w:rPr>
            </w:pPr>
            <w:r>
              <w:rPr>
                <w:rFonts w:ascii="Verdana" w:hAnsi="Verdana"/>
                <w:color w:val="000000"/>
                <w:sz w:val="16"/>
                <w:szCs w:val="16"/>
              </w:rPr>
              <w:t>13,35</w:t>
            </w:r>
          </w:p>
        </w:tc>
        <w:tc>
          <w:tcPr>
            <w:tcW w:w="160" w:type="dxa"/>
            <w:noWrap/>
            <w:vAlign w:val="bottom"/>
            <w:hideMark/>
          </w:tcPr>
          <w:p w14:paraId="70F4EEB2" w14:textId="77777777" w:rsidR="00304A89" w:rsidRDefault="00304A89">
            <w:pPr>
              <w:rPr>
                <w:sz w:val="20"/>
                <w:szCs w:val="20"/>
              </w:rPr>
            </w:pPr>
          </w:p>
        </w:tc>
        <w:tc>
          <w:tcPr>
            <w:tcW w:w="840" w:type="dxa"/>
            <w:tcBorders>
              <w:top w:val="nil"/>
              <w:left w:val="single" w:sz="8" w:space="0" w:color="auto"/>
              <w:bottom w:val="single" w:sz="4" w:space="0" w:color="auto"/>
              <w:right w:val="single" w:sz="4" w:space="0" w:color="auto"/>
            </w:tcBorders>
            <w:noWrap/>
            <w:vAlign w:val="bottom"/>
            <w:hideMark/>
          </w:tcPr>
          <w:p w14:paraId="7F761946" w14:textId="77777777" w:rsidR="00304A89" w:rsidRDefault="00304A89">
            <w:pPr>
              <w:jc w:val="right"/>
              <w:rPr>
                <w:rFonts w:ascii="Verdana" w:hAnsi="Verdana"/>
                <w:color w:val="000000"/>
                <w:sz w:val="16"/>
                <w:szCs w:val="16"/>
              </w:rPr>
            </w:pPr>
            <w:r>
              <w:rPr>
                <w:rFonts w:ascii="Verdana" w:hAnsi="Verdana"/>
                <w:color w:val="000000"/>
                <w:sz w:val="16"/>
                <w:szCs w:val="16"/>
              </w:rPr>
              <w:t>1</w:t>
            </w:r>
          </w:p>
        </w:tc>
        <w:tc>
          <w:tcPr>
            <w:tcW w:w="840" w:type="dxa"/>
            <w:tcBorders>
              <w:top w:val="nil"/>
              <w:left w:val="nil"/>
              <w:bottom w:val="single" w:sz="4" w:space="0" w:color="auto"/>
              <w:right w:val="single" w:sz="4" w:space="0" w:color="auto"/>
            </w:tcBorders>
            <w:noWrap/>
            <w:vAlign w:val="bottom"/>
            <w:hideMark/>
          </w:tcPr>
          <w:p w14:paraId="70B480F2" w14:textId="77777777" w:rsidR="00304A89" w:rsidRDefault="00304A89">
            <w:pPr>
              <w:jc w:val="right"/>
              <w:rPr>
                <w:rFonts w:ascii="Verdana" w:hAnsi="Verdana"/>
                <w:color w:val="000000"/>
                <w:sz w:val="16"/>
                <w:szCs w:val="16"/>
              </w:rPr>
            </w:pPr>
            <w:r>
              <w:rPr>
                <w:rFonts w:ascii="Verdana" w:hAnsi="Verdana"/>
                <w:color w:val="000000"/>
                <w:sz w:val="16"/>
                <w:szCs w:val="16"/>
              </w:rPr>
              <w:t>1</w:t>
            </w:r>
          </w:p>
        </w:tc>
        <w:tc>
          <w:tcPr>
            <w:tcW w:w="760" w:type="dxa"/>
            <w:tcBorders>
              <w:top w:val="nil"/>
              <w:left w:val="nil"/>
              <w:bottom w:val="single" w:sz="4" w:space="0" w:color="auto"/>
              <w:right w:val="single" w:sz="4" w:space="0" w:color="auto"/>
            </w:tcBorders>
            <w:noWrap/>
            <w:vAlign w:val="bottom"/>
            <w:hideMark/>
          </w:tcPr>
          <w:p w14:paraId="57C3C11E" w14:textId="77777777" w:rsidR="00304A89" w:rsidRDefault="00304A89">
            <w:pPr>
              <w:jc w:val="right"/>
              <w:rPr>
                <w:rFonts w:ascii="Verdana" w:hAnsi="Verdana"/>
                <w:color w:val="000000"/>
                <w:sz w:val="16"/>
                <w:szCs w:val="16"/>
              </w:rPr>
            </w:pPr>
            <w:r>
              <w:rPr>
                <w:rFonts w:ascii="Verdana" w:hAnsi="Verdana"/>
                <w:color w:val="000000"/>
                <w:sz w:val="16"/>
                <w:szCs w:val="16"/>
              </w:rPr>
              <w:t>1</w:t>
            </w:r>
          </w:p>
        </w:tc>
        <w:tc>
          <w:tcPr>
            <w:tcW w:w="880" w:type="dxa"/>
            <w:tcBorders>
              <w:top w:val="nil"/>
              <w:left w:val="nil"/>
              <w:bottom w:val="single" w:sz="4" w:space="0" w:color="auto"/>
              <w:right w:val="single" w:sz="8" w:space="0" w:color="auto"/>
            </w:tcBorders>
            <w:noWrap/>
            <w:vAlign w:val="bottom"/>
            <w:hideMark/>
          </w:tcPr>
          <w:p w14:paraId="0BD489D2" w14:textId="77777777" w:rsidR="00304A89" w:rsidRDefault="00304A89">
            <w:pPr>
              <w:jc w:val="right"/>
              <w:rPr>
                <w:rFonts w:ascii="Verdana" w:hAnsi="Verdana"/>
                <w:color w:val="000000"/>
                <w:sz w:val="16"/>
                <w:szCs w:val="16"/>
              </w:rPr>
            </w:pPr>
            <w:r>
              <w:rPr>
                <w:rFonts w:ascii="Verdana" w:hAnsi="Verdana"/>
                <w:color w:val="000000"/>
                <w:sz w:val="16"/>
                <w:szCs w:val="16"/>
              </w:rPr>
              <w:t>1</w:t>
            </w:r>
          </w:p>
        </w:tc>
      </w:tr>
      <w:tr w:rsidR="00304A89" w14:paraId="18A918DE" w14:textId="77777777" w:rsidTr="00435BA6">
        <w:trPr>
          <w:trHeight w:val="288"/>
        </w:trPr>
        <w:tc>
          <w:tcPr>
            <w:tcW w:w="4720" w:type="dxa"/>
            <w:tcBorders>
              <w:top w:val="nil"/>
              <w:left w:val="single" w:sz="8" w:space="0" w:color="auto"/>
              <w:bottom w:val="single" w:sz="8" w:space="0" w:color="auto"/>
              <w:right w:val="single" w:sz="4" w:space="0" w:color="auto"/>
            </w:tcBorders>
            <w:noWrap/>
            <w:vAlign w:val="bottom"/>
            <w:hideMark/>
          </w:tcPr>
          <w:p w14:paraId="754B61F7" w14:textId="77777777" w:rsidR="00304A89" w:rsidRDefault="00304A89">
            <w:pPr>
              <w:rPr>
                <w:rFonts w:ascii="Verdana" w:hAnsi="Verdana"/>
                <w:color w:val="000000"/>
                <w:sz w:val="16"/>
                <w:szCs w:val="16"/>
              </w:rPr>
            </w:pPr>
            <w:r>
              <w:rPr>
                <w:rFonts w:ascii="Verdana" w:hAnsi="Verdana"/>
                <w:color w:val="000000"/>
                <w:sz w:val="16"/>
                <w:szCs w:val="16"/>
              </w:rPr>
              <w:t>Ostatní vlaky (lokomotivní)</w:t>
            </w:r>
          </w:p>
        </w:tc>
        <w:tc>
          <w:tcPr>
            <w:tcW w:w="1660" w:type="dxa"/>
            <w:tcBorders>
              <w:top w:val="nil"/>
              <w:left w:val="nil"/>
              <w:bottom w:val="single" w:sz="8" w:space="0" w:color="auto"/>
              <w:right w:val="single" w:sz="8" w:space="0" w:color="auto"/>
            </w:tcBorders>
            <w:noWrap/>
            <w:vAlign w:val="bottom"/>
            <w:hideMark/>
          </w:tcPr>
          <w:p w14:paraId="67FA26B5" w14:textId="77777777" w:rsidR="00304A89" w:rsidRDefault="00304A89">
            <w:pPr>
              <w:jc w:val="center"/>
              <w:rPr>
                <w:rFonts w:ascii="Verdana" w:hAnsi="Verdana"/>
                <w:color w:val="000000"/>
                <w:sz w:val="16"/>
                <w:szCs w:val="16"/>
              </w:rPr>
            </w:pPr>
            <w:r>
              <w:rPr>
                <w:rFonts w:ascii="Verdana" w:hAnsi="Verdana"/>
                <w:color w:val="000000"/>
                <w:sz w:val="16"/>
                <w:szCs w:val="16"/>
              </w:rPr>
              <w:t>29</w:t>
            </w:r>
          </w:p>
        </w:tc>
        <w:tc>
          <w:tcPr>
            <w:tcW w:w="160" w:type="dxa"/>
            <w:noWrap/>
            <w:vAlign w:val="bottom"/>
            <w:hideMark/>
          </w:tcPr>
          <w:p w14:paraId="02ABCFD7" w14:textId="77777777" w:rsidR="00304A89" w:rsidRDefault="00304A89">
            <w:pPr>
              <w:rPr>
                <w:sz w:val="20"/>
                <w:szCs w:val="20"/>
              </w:rPr>
            </w:pPr>
          </w:p>
        </w:tc>
        <w:tc>
          <w:tcPr>
            <w:tcW w:w="840" w:type="dxa"/>
            <w:tcBorders>
              <w:top w:val="nil"/>
              <w:left w:val="single" w:sz="8" w:space="0" w:color="auto"/>
              <w:bottom w:val="single" w:sz="8" w:space="0" w:color="auto"/>
              <w:right w:val="single" w:sz="4" w:space="0" w:color="auto"/>
            </w:tcBorders>
            <w:noWrap/>
            <w:vAlign w:val="bottom"/>
            <w:hideMark/>
          </w:tcPr>
          <w:p w14:paraId="145115AB" w14:textId="77777777" w:rsidR="00304A89" w:rsidRDefault="00304A89">
            <w:pPr>
              <w:jc w:val="right"/>
              <w:rPr>
                <w:rFonts w:ascii="Verdana" w:hAnsi="Verdana"/>
                <w:color w:val="000000"/>
                <w:sz w:val="16"/>
                <w:szCs w:val="16"/>
              </w:rPr>
            </w:pPr>
            <w:r>
              <w:rPr>
                <w:rFonts w:ascii="Verdana" w:hAnsi="Verdana"/>
                <w:color w:val="000000"/>
                <w:sz w:val="16"/>
                <w:szCs w:val="16"/>
              </w:rPr>
              <w:t>1</w:t>
            </w:r>
          </w:p>
        </w:tc>
        <w:tc>
          <w:tcPr>
            <w:tcW w:w="840" w:type="dxa"/>
            <w:tcBorders>
              <w:top w:val="nil"/>
              <w:left w:val="nil"/>
              <w:bottom w:val="single" w:sz="8" w:space="0" w:color="auto"/>
              <w:right w:val="single" w:sz="4" w:space="0" w:color="auto"/>
            </w:tcBorders>
            <w:noWrap/>
            <w:vAlign w:val="bottom"/>
            <w:hideMark/>
          </w:tcPr>
          <w:p w14:paraId="05B8FB32" w14:textId="77777777" w:rsidR="00304A89" w:rsidRDefault="00304A89">
            <w:pPr>
              <w:jc w:val="right"/>
              <w:rPr>
                <w:rFonts w:ascii="Verdana" w:hAnsi="Verdana"/>
                <w:color w:val="000000"/>
                <w:sz w:val="16"/>
                <w:szCs w:val="16"/>
              </w:rPr>
            </w:pPr>
            <w:r>
              <w:rPr>
                <w:rFonts w:ascii="Verdana" w:hAnsi="Verdana"/>
                <w:color w:val="000000"/>
                <w:sz w:val="16"/>
                <w:szCs w:val="16"/>
              </w:rPr>
              <w:t>1</w:t>
            </w:r>
          </w:p>
        </w:tc>
        <w:tc>
          <w:tcPr>
            <w:tcW w:w="760" w:type="dxa"/>
            <w:tcBorders>
              <w:top w:val="nil"/>
              <w:left w:val="nil"/>
              <w:bottom w:val="single" w:sz="8" w:space="0" w:color="auto"/>
              <w:right w:val="single" w:sz="4" w:space="0" w:color="auto"/>
            </w:tcBorders>
            <w:noWrap/>
            <w:vAlign w:val="bottom"/>
            <w:hideMark/>
          </w:tcPr>
          <w:p w14:paraId="24896EE1" w14:textId="77777777" w:rsidR="00304A89" w:rsidRDefault="00304A89">
            <w:pPr>
              <w:jc w:val="right"/>
              <w:rPr>
                <w:rFonts w:ascii="Verdana" w:hAnsi="Verdana"/>
                <w:color w:val="000000"/>
                <w:sz w:val="16"/>
                <w:szCs w:val="16"/>
              </w:rPr>
            </w:pPr>
            <w:r>
              <w:rPr>
                <w:rFonts w:ascii="Verdana" w:hAnsi="Verdana"/>
                <w:color w:val="000000"/>
                <w:sz w:val="16"/>
                <w:szCs w:val="16"/>
              </w:rPr>
              <w:t>1</w:t>
            </w:r>
          </w:p>
        </w:tc>
        <w:tc>
          <w:tcPr>
            <w:tcW w:w="880" w:type="dxa"/>
            <w:tcBorders>
              <w:top w:val="nil"/>
              <w:left w:val="nil"/>
              <w:bottom w:val="single" w:sz="8" w:space="0" w:color="auto"/>
              <w:right w:val="single" w:sz="8" w:space="0" w:color="auto"/>
            </w:tcBorders>
            <w:noWrap/>
            <w:vAlign w:val="bottom"/>
            <w:hideMark/>
          </w:tcPr>
          <w:p w14:paraId="476F6CAE" w14:textId="77777777" w:rsidR="00304A89" w:rsidRDefault="00304A89">
            <w:pPr>
              <w:jc w:val="right"/>
              <w:rPr>
                <w:rFonts w:ascii="Verdana" w:hAnsi="Verdana"/>
                <w:color w:val="000000"/>
                <w:sz w:val="16"/>
                <w:szCs w:val="16"/>
              </w:rPr>
            </w:pPr>
            <w:r>
              <w:rPr>
                <w:rFonts w:ascii="Verdana" w:hAnsi="Verdana"/>
                <w:color w:val="000000"/>
                <w:sz w:val="16"/>
                <w:szCs w:val="16"/>
              </w:rPr>
              <w:t>1</w:t>
            </w:r>
          </w:p>
        </w:tc>
      </w:tr>
      <w:tr w:rsidR="00304A89" w14:paraId="7533A944" w14:textId="77777777" w:rsidTr="00435BA6">
        <w:trPr>
          <w:trHeight w:val="204"/>
        </w:trPr>
        <w:tc>
          <w:tcPr>
            <w:tcW w:w="4720" w:type="dxa"/>
            <w:noWrap/>
            <w:vAlign w:val="bottom"/>
            <w:hideMark/>
          </w:tcPr>
          <w:p w14:paraId="2A2BC555" w14:textId="77777777" w:rsidR="00304A89" w:rsidRDefault="00304A89">
            <w:pPr>
              <w:rPr>
                <w:sz w:val="20"/>
                <w:szCs w:val="20"/>
              </w:rPr>
            </w:pPr>
          </w:p>
        </w:tc>
        <w:tc>
          <w:tcPr>
            <w:tcW w:w="1660" w:type="dxa"/>
            <w:noWrap/>
            <w:vAlign w:val="bottom"/>
            <w:hideMark/>
          </w:tcPr>
          <w:p w14:paraId="6C3E08B2" w14:textId="77777777" w:rsidR="00304A89" w:rsidRDefault="00304A89">
            <w:pPr>
              <w:rPr>
                <w:sz w:val="20"/>
                <w:szCs w:val="20"/>
              </w:rPr>
            </w:pPr>
          </w:p>
        </w:tc>
        <w:tc>
          <w:tcPr>
            <w:tcW w:w="160" w:type="dxa"/>
            <w:noWrap/>
            <w:vAlign w:val="bottom"/>
            <w:hideMark/>
          </w:tcPr>
          <w:p w14:paraId="22E0850F" w14:textId="77777777" w:rsidR="00304A89" w:rsidRDefault="00304A89">
            <w:pPr>
              <w:rPr>
                <w:sz w:val="20"/>
                <w:szCs w:val="20"/>
              </w:rPr>
            </w:pPr>
          </w:p>
        </w:tc>
        <w:tc>
          <w:tcPr>
            <w:tcW w:w="840" w:type="dxa"/>
            <w:noWrap/>
            <w:vAlign w:val="bottom"/>
            <w:hideMark/>
          </w:tcPr>
          <w:p w14:paraId="1A5D559C" w14:textId="77777777" w:rsidR="00304A89" w:rsidRDefault="00304A89">
            <w:pPr>
              <w:rPr>
                <w:sz w:val="20"/>
                <w:szCs w:val="20"/>
              </w:rPr>
            </w:pPr>
          </w:p>
        </w:tc>
        <w:tc>
          <w:tcPr>
            <w:tcW w:w="840" w:type="dxa"/>
            <w:noWrap/>
            <w:vAlign w:val="bottom"/>
            <w:hideMark/>
          </w:tcPr>
          <w:p w14:paraId="09AA0E41" w14:textId="77777777" w:rsidR="00304A89" w:rsidRDefault="00304A89">
            <w:pPr>
              <w:rPr>
                <w:sz w:val="20"/>
                <w:szCs w:val="20"/>
              </w:rPr>
            </w:pPr>
          </w:p>
        </w:tc>
        <w:tc>
          <w:tcPr>
            <w:tcW w:w="760" w:type="dxa"/>
            <w:noWrap/>
            <w:vAlign w:val="bottom"/>
            <w:hideMark/>
          </w:tcPr>
          <w:p w14:paraId="5BF17927" w14:textId="77777777" w:rsidR="00304A89" w:rsidRDefault="00304A89">
            <w:pPr>
              <w:rPr>
                <w:sz w:val="20"/>
                <w:szCs w:val="20"/>
              </w:rPr>
            </w:pPr>
          </w:p>
        </w:tc>
        <w:tc>
          <w:tcPr>
            <w:tcW w:w="880" w:type="dxa"/>
            <w:noWrap/>
            <w:vAlign w:val="bottom"/>
            <w:hideMark/>
          </w:tcPr>
          <w:p w14:paraId="59C1A715" w14:textId="77777777" w:rsidR="00304A89" w:rsidRDefault="00304A89">
            <w:pPr>
              <w:rPr>
                <w:sz w:val="20"/>
                <w:szCs w:val="20"/>
              </w:rPr>
            </w:pPr>
          </w:p>
        </w:tc>
      </w:tr>
      <w:tr w:rsidR="00304A89" w14:paraId="77715D6F" w14:textId="77777777" w:rsidTr="00435BA6">
        <w:trPr>
          <w:trHeight w:val="276"/>
        </w:trPr>
        <w:tc>
          <w:tcPr>
            <w:tcW w:w="4720" w:type="dxa"/>
            <w:noWrap/>
            <w:vAlign w:val="bottom"/>
            <w:hideMark/>
          </w:tcPr>
          <w:p w14:paraId="59F19155" w14:textId="77777777" w:rsidR="00304A89" w:rsidRDefault="00304A89">
            <w:pPr>
              <w:jc w:val="right"/>
              <w:rPr>
                <w:rFonts w:ascii="Verdana" w:hAnsi="Verdana"/>
                <w:color w:val="000000"/>
                <w:sz w:val="16"/>
                <w:szCs w:val="16"/>
              </w:rPr>
            </w:pPr>
            <w:r>
              <w:rPr>
                <w:rFonts w:ascii="Verdana" w:hAnsi="Verdana"/>
                <w:color w:val="000000"/>
                <w:sz w:val="16"/>
                <w:szCs w:val="16"/>
              </w:rPr>
              <w:t xml:space="preserve">Koeficient technických ztrát - </w:t>
            </w:r>
            <w:proofErr w:type="spellStart"/>
            <w:r>
              <w:rPr>
                <w:rFonts w:ascii="Verdana" w:hAnsi="Verdana"/>
                <w:color w:val="000000"/>
                <w:sz w:val="16"/>
                <w:szCs w:val="16"/>
              </w:rPr>
              <w:t>k</w:t>
            </w:r>
            <w:r>
              <w:rPr>
                <w:rFonts w:ascii="Verdana" w:hAnsi="Verdana"/>
                <w:color w:val="000000"/>
                <w:sz w:val="16"/>
                <w:szCs w:val="16"/>
                <w:vertAlign w:val="subscript"/>
              </w:rPr>
              <w:t>z</w:t>
            </w:r>
            <w:proofErr w:type="spellEnd"/>
          </w:p>
        </w:tc>
        <w:tc>
          <w:tcPr>
            <w:tcW w:w="1660" w:type="dxa"/>
            <w:noWrap/>
            <w:vAlign w:val="bottom"/>
            <w:hideMark/>
          </w:tcPr>
          <w:p w14:paraId="23615EFE" w14:textId="77777777" w:rsidR="00304A89" w:rsidRDefault="00304A89">
            <w:pPr>
              <w:jc w:val="center"/>
              <w:rPr>
                <w:rFonts w:ascii="Verdana" w:hAnsi="Verdana"/>
                <w:color w:val="000000"/>
                <w:sz w:val="16"/>
                <w:szCs w:val="16"/>
              </w:rPr>
            </w:pPr>
            <w:r>
              <w:rPr>
                <w:rFonts w:ascii="Verdana" w:hAnsi="Verdana"/>
                <w:color w:val="000000"/>
                <w:sz w:val="16"/>
                <w:szCs w:val="16"/>
              </w:rPr>
              <w:t>1,18</w:t>
            </w:r>
          </w:p>
        </w:tc>
        <w:tc>
          <w:tcPr>
            <w:tcW w:w="160" w:type="dxa"/>
            <w:noWrap/>
            <w:vAlign w:val="bottom"/>
            <w:hideMark/>
          </w:tcPr>
          <w:p w14:paraId="69860C70" w14:textId="77777777" w:rsidR="00304A89" w:rsidRDefault="00304A89">
            <w:pPr>
              <w:rPr>
                <w:sz w:val="20"/>
                <w:szCs w:val="20"/>
              </w:rPr>
            </w:pPr>
          </w:p>
        </w:tc>
        <w:tc>
          <w:tcPr>
            <w:tcW w:w="840" w:type="dxa"/>
            <w:noWrap/>
            <w:vAlign w:val="bottom"/>
            <w:hideMark/>
          </w:tcPr>
          <w:p w14:paraId="5698208B" w14:textId="77777777" w:rsidR="00304A89" w:rsidRDefault="00304A89">
            <w:pPr>
              <w:rPr>
                <w:sz w:val="20"/>
                <w:szCs w:val="20"/>
              </w:rPr>
            </w:pPr>
          </w:p>
        </w:tc>
        <w:tc>
          <w:tcPr>
            <w:tcW w:w="840" w:type="dxa"/>
            <w:noWrap/>
            <w:vAlign w:val="bottom"/>
            <w:hideMark/>
          </w:tcPr>
          <w:p w14:paraId="25255801" w14:textId="77777777" w:rsidR="00304A89" w:rsidRDefault="00304A89">
            <w:pPr>
              <w:rPr>
                <w:sz w:val="20"/>
                <w:szCs w:val="20"/>
              </w:rPr>
            </w:pPr>
          </w:p>
        </w:tc>
        <w:tc>
          <w:tcPr>
            <w:tcW w:w="760" w:type="dxa"/>
            <w:noWrap/>
            <w:vAlign w:val="bottom"/>
            <w:hideMark/>
          </w:tcPr>
          <w:p w14:paraId="24ADDA3C" w14:textId="77777777" w:rsidR="00304A89" w:rsidRDefault="00304A89">
            <w:pPr>
              <w:rPr>
                <w:sz w:val="20"/>
                <w:szCs w:val="20"/>
              </w:rPr>
            </w:pPr>
          </w:p>
        </w:tc>
        <w:tc>
          <w:tcPr>
            <w:tcW w:w="880" w:type="dxa"/>
            <w:noWrap/>
            <w:vAlign w:val="bottom"/>
            <w:hideMark/>
          </w:tcPr>
          <w:p w14:paraId="3C99E84B" w14:textId="77777777" w:rsidR="00304A89" w:rsidRDefault="00304A89">
            <w:pPr>
              <w:rPr>
                <w:sz w:val="20"/>
                <w:szCs w:val="20"/>
              </w:rPr>
            </w:pPr>
          </w:p>
        </w:tc>
      </w:tr>
      <w:tr w:rsidR="00304A89" w14:paraId="553C61B5" w14:textId="77777777" w:rsidTr="00435BA6">
        <w:trPr>
          <w:trHeight w:val="276"/>
        </w:trPr>
        <w:tc>
          <w:tcPr>
            <w:tcW w:w="4720" w:type="dxa"/>
            <w:noWrap/>
            <w:vAlign w:val="bottom"/>
            <w:hideMark/>
          </w:tcPr>
          <w:p w14:paraId="531A6382" w14:textId="77777777" w:rsidR="00304A89" w:rsidRDefault="00304A89">
            <w:pPr>
              <w:rPr>
                <w:sz w:val="20"/>
                <w:szCs w:val="20"/>
              </w:rPr>
            </w:pPr>
          </w:p>
        </w:tc>
        <w:tc>
          <w:tcPr>
            <w:tcW w:w="1660" w:type="dxa"/>
            <w:noWrap/>
            <w:vAlign w:val="bottom"/>
            <w:hideMark/>
          </w:tcPr>
          <w:p w14:paraId="3668598E" w14:textId="77777777" w:rsidR="00304A89" w:rsidRDefault="00304A89">
            <w:pPr>
              <w:rPr>
                <w:sz w:val="20"/>
                <w:szCs w:val="20"/>
              </w:rPr>
            </w:pPr>
          </w:p>
        </w:tc>
        <w:tc>
          <w:tcPr>
            <w:tcW w:w="160" w:type="dxa"/>
            <w:noWrap/>
            <w:vAlign w:val="bottom"/>
            <w:hideMark/>
          </w:tcPr>
          <w:p w14:paraId="5C406291" w14:textId="77777777" w:rsidR="00304A89" w:rsidRDefault="00304A89">
            <w:pPr>
              <w:rPr>
                <w:sz w:val="20"/>
                <w:szCs w:val="20"/>
              </w:rPr>
            </w:pPr>
          </w:p>
        </w:tc>
        <w:tc>
          <w:tcPr>
            <w:tcW w:w="840" w:type="dxa"/>
            <w:noWrap/>
            <w:vAlign w:val="bottom"/>
            <w:hideMark/>
          </w:tcPr>
          <w:p w14:paraId="2D12478B" w14:textId="77777777" w:rsidR="00304A89" w:rsidRDefault="00304A89">
            <w:pPr>
              <w:rPr>
                <w:sz w:val="20"/>
                <w:szCs w:val="20"/>
              </w:rPr>
            </w:pPr>
          </w:p>
        </w:tc>
        <w:tc>
          <w:tcPr>
            <w:tcW w:w="840" w:type="dxa"/>
            <w:noWrap/>
            <w:vAlign w:val="bottom"/>
            <w:hideMark/>
          </w:tcPr>
          <w:p w14:paraId="314F646E" w14:textId="77777777" w:rsidR="00304A89" w:rsidRDefault="00304A89">
            <w:pPr>
              <w:rPr>
                <w:sz w:val="20"/>
                <w:szCs w:val="20"/>
              </w:rPr>
            </w:pPr>
          </w:p>
        </w:tc>
        <w:tc>
          <w:tcPr>
            <w:tcW w:w="760" w:type="dxa"/>
            <w:noWrap/>
            <w:vAlign w:val="bottom"/>
            <w:hideMark/>
          </w:tcPr>
          <w:p w14:paraId="4DCCADFF" w14:textId="77777777" w:rsidR="00304A89" w:rsidRDefault="00304A89">
            <w:pPr>
              <w:rPr>
                <w:sz w:val="20"/>
                <w:szCs w:val="20"/>
              </w:rPr>
            </w:pPr>
          </w:p>
        </w:tc>
        <w:tc>
          <w:tcPr>
            <w:tcW w:w="880" w:type="dxa"/>
            <w:noWrap/>
            <w:vAlign w:val="bottom"/>
            <w:hideMark/>
          </w:tcPr>
          <w:p w14:paraId="403BE7E7" w14:textId="77777777" w:rsidR="00304A89" w:rsidRDefault="00304A89">
            <w:pPr>
              <w:rPr>
                <w:sz w:val="20"/>
                <w:szCs w:val="20"/>
              </w:rPr>
            </w:pPr>
          </w:p>
        </w:tc>
      </w:tr>
      <w:tr w:rsidR="00304A89" w14:paraId="7E024F76" w14:textId="77777777" w:rsidTr="00435BA6">
        <w:trPr>
          <w:trHeight w:val="276"/>
        </w:trPr>
        <w:tc>
          <w:tcPr>
            <w:tcW w:w="4720" w:type="dxa"/>
            <w:noWrap/>
            <w:vAlign w:val="bottom"/>
            <w:hideMark/>
          </w:tcPr>
          <w:p w14:paraId="087D3FF6" w14:textId="77777777" w:rsidR="00304A89" w:rsidRDefault="00304A89">
            <w:pPr>
              <w:rPr>
                <w:rFonts w:ascii="Verdana" w:hAnsi="Verdana"/>
                <w:b/>
                <w:bCs/>
                <w:color w:val="000000"/>
                <w:sz w:val="16"/>
                <w:szCs w:val="16"/>
              </w:rPr>
            </w:pPr>
            <w:r>
              <w:rPr>
                <w:rFonts w:ascii="Verdana" w:hAnsi="Verdana"/>
                <w:b/>
                <w:bCs/>
                <w:color w:val="000000"/>
                <w:sz w:val="16"/>
                <w:szCs w:val="16"/>
              </w:rPr>
              <w:t xml:space="preserve">Koeficient technologické spotřeby - </w:t>
            </w:r>
            <w:proofErr w:type="spellStart"/>
            <w:r>
              <w:rPr>
                <w:rFonts w:ascii="Verdana" w:hAnsi="Verdana"/>
                <w:b/>
                <w:bCs/>
                <w:color w:val="000000"/>
                <w:sz w:val="16"/>
                <w:szCs w:val="16"/>
              </w:rPr>
              <w:t>k</w:t>
            </w:r>
            <w:r>
              <w:rPr>
                <w:rFonts w:ascii="Verdana" w:hAnsi="Verdana"/>
                <w:b/>
                <w:bCs/>
                <w:color w:val="000000"/>
                <w:sz w:val="16"/>
                <w:szCs w:val="16"/>
                <w:vertAlign w:val="subscript"/>
              </w:rPr>
              <w:t>t</w:t>
            </w:r>
            <w:proofErr w:type="spellEnd"/>
          </w:p>
        </w:tc>
        <w:tc>
          <w:tcPr>
            <w:tcW w:w="1660" w:type="dxa"/>
            <w:noWrap/>
            <w:vAlign w:val="bottom"/>
            <w:hideMark/>
          </w:tcPr>
          <w:p w14:paraId="480B86BA" w14:textId="77777777" w:rsidR="00304A89" w:rsidRDefault="00304A89">
            <w:pPr>
              <w:rPr>
                <w:sz w:val="20"/>
                <w:szCs w:val="20"/>
              </w:rPr>
            </w:pPr>
          </w:p>
        </w:tc>
        <w:tc>
          <w:tcPr>
            <w:tcW w:w="160" w:type="dxa"/>
            <w:noWrap/>
            <w:vAlign w:val="bottom"/>
            <w:hideMark/>
          </w:tcPr>
          <w:p w14:paraId="7D3C568C" w14:textId="77777777" w:rsidR="00304A89" w:rsidRDefault="00304A89">
            <w:pPr>
              <w:rPr>
                <w:sz w:val="20"/>
                <w:szCs w:val="20"/>
              </w:rPr>
            </w:pPr>
          </w:p>
        </w:tc>
        <w:tc>
          <w:tcPr>
            <w:tcW w:w="840" w:type="dxa"/>
            <w:noWrap/>
            <w:vAlign w:val="bottom"/>
            <w:hideMark/>
          </w:tcPr>
          <w:p w14:paraId="0ED135EB" w14:textId="77777777" w:rsidR="00304A89" w:rsidRDefault="00304A89">
            <w:pPr>
              <w:rPr>
                <w:sz w:val="20"/>
                <w:szCs w:val="20"/>
              </w:rPr>
            </w:pPr>
          </w:p>
        </w:tc>
        <w:tc>
          <w:tcPr>
            <w:tcW w:w="840" w:type="dxa"/>
            <w:noWrap/>
            <w:vAlign w:val="bottom"/>
            <w:hideMark/>
          </w:tcPr>
          <w:p w14:paraId="0B0E31FF" w14:textId="77777777" w:rsidR="00304A89" w:rsidRDefault="00304A89">
            <w:pPr>
              <w:rPr>
                <w:sz w:val="20"/>
                <w:szCs w:val="20"/>
              </w:rPr>
            </w:pPr>
          </w:p>
        </w:tc>
        <w:tc>
          <w:tcPr>
            <w:tcW w:w="760" w:type="dxa"/>
            <w:noWrap/>
            <w:vAlign w:val="bottom"/>
            <w:hideMark/>
          </w:tcPr>
          <w:p w14:paraId="3AA0AAE6" w14:textId="77777777" w:rsidR="00304A89" w:rsidRDefault="00304A89">
            <w:pPr>
              <w:rPr>
                <w:sz w:val="20"/>
                <w:szCs w:val="20"/>
              </w:rPr>
            </w:pPr>
          </w:p>
        </w:tc>
        <w:tc>
          <w:tcPr>
            <w:tcW w:w="880" w:type="dxa"/>
            <w:noWrap/>
            <w:vAlign w:val="bottom"/>
            <w:hideMark/>
          </w:tcPr>
          <w:p w14:paraId="40C91A4A" w14:textId="77777777" w:rsidR="00304A89" w:rsidRDefault="00304A89">
            <w:pPr>
              <w:rPr>
                <w:sz w:val="20"/>
                <w:szCs w:val="20"/>
              </w:rPr>
            </w:pPr>
          </w:p>
        </w:tc>
      </w:tr>
      <w:tr w:rsidR="00304A89" w14:paraId="6FFA00E2" w14:textId="77777777" w:rsidTr="00435BA6">
        <w:trPr>
          <w:trHeight w:val="216"/>
        </w:trPr>
        <w:tc>
          <w:tcPr>
            <w:tcW w:w="4720" w:type="dxa"/>
            <w:noWrap/>
            <w:vAlign w:val="bottom"/>
            <w:hideMark/>
          </w:tcPr>
          <w:p w14:paraId="39AF661E" w14:textId="77777777" w:rsidR="00304A89" w:rsidRDefault="00304A89">
            <w:pPr>
              <w:rPr>
                <w:sz w:val="20"/>
                <w:szCs w:val="20"/>
              </w:rPr>
            </w:pPr>
          </w:p>
        </w:tc>
        <w:tc>
          <w:tcPr>
            <w:tcW w:w="1660" w:type="dxa"/>
            <w:noWrap/>
            <w:vAlign w:val="bottom"/>
            <w:hideMark/>
          </w:tcPr>
          <w:p w14:paraId="18ED574E" w14:textId="77777777" w:rsidR="00304A89" w:rsidRDefault="00304A89">
            <w:pPr>
              <w:rPr>
                <w:sz w:val="20"/>
                <w:szCs w:val="20"/>
              </w:rPr>
            </w:pPr>
          </w:p>
        </w:tc>
        <w:tc>
          <w:tcPr>
            <w:tcW w:w="160" w:type="dxa"/>
            <w:noWrap/>
            <w:vAlign w:val="bottom"/>
            <w:hideMark/>
          </w:tcPr>
          <w:p w14:paraId="643B0CF9" w14:textId="77777777" w:rsidR="00304A89" w:rsidRDefault="00304A89">
            <w:pPr>
              <w:rPr>
                <w:sz w:val="20"/>
                <w:szCs w:val="20"/>
              </w:rPr>
            </w:pPr>
          </w:p>
        </w:tc>
        <w:tc>
          <w:tcPr>
            <w:tcW w:w="840" w:type="dxa"/>
            <w:noWrap/>
            <w:vAlign w:val="bottom"/>
            <w:hideMark/>
          </w:tcPr>
          <w:p w14:paraId="486D8ACB" w14:textId="77777777" w:rsidR="00304A89" w:rsidRDefault="00304A89">
            <w:pPr>
              <w:rPr>
                <w:sz w:val="20"/>
                <w:szCs w:val="20"/>
              </w:rPr>
            </w:pPr>
          </w:p>
        </w:tc>
        <w:tc>
          <w:tcPr>
            <w:tcW w:w="840" w:type="dxa"/>
            <w:noWrap/>
            <w:vAlign w:val="bottom"/>
            <w:hideMark/>
          </w:tcPr>
          <w:p w14:paraId="2D725B86" w14:textId="77777777" w:rsidR="00304A89" w:rsidRDefault="00304A89">
            <w:pPr>
              <w:rPr>
                <w:sz w:val="20"/>
                <w:szCs w:val="20"/>
              </w:rPr>
            </w:pPr>
          </w:p>
        </w:tc>
        <w:tc>
          <w:tcPr>
            <w:tcW w:w="760" w:type="dxa"/>
            <w:noWrap/>
            <w:vAlign w:val="bottom"/>
            <w:hideMark/>
          </w:tcPr>
          <w:p w14:paraId="172DEBFD" w14:textId="77777777" w:rsidR="00304A89" w:rsidRDefault="00304A89">
            <w:pPr>
              <w:rPr>
                <w:sz w:val="20"/>
                <w:szCs w:val="20"/>
              </w:rPr>
            </w:pPr>
          </w:p>
        </w:tc>
        <w:tc>
          <w:tcPr>
            <w:tcW w:w="880" w:type="dxa"/>
            <w:noWrap/>
            <w:vAlign w:val="bottom"/>
            <w:hideMark/>
          </w:tcPr>
          <w:p w14:paraId="57C30740" w14:textId="77777777" w:rsidR="00304A89" w:rsidRDefault="00304A89">
            <w:pPr>
              <w:rPr>
                <w:sz w:val="20"/>
                <w:szCs w:val="20"/>
              </w:rPr>
            </w:pPr>
          </w:p>
        </w:tc>
      </w:tr>
      <w:tr w:rsidR="00304A89" w14:paraId="296CF388" w14:textId="77777777" w:rsidTr="00435BA6">
        <w:trPr>
          <w:trHeight w:val="276"/>
        </w:trPr>
        <w:tc>
          <w:tcPr>
            <w:tcW w:w="4720" w:type="dxa"/>
            <w:tcBorders>
              <w:top w:val="single" w:sz="8" w:space="0" w:color="auto"/>
              <w:left w:val="single" w:sz="8" w:space="0" w:color="auto"/>
              <w:bottom w:val="single" w:sz="4" w:space="0" w:color="auto"/>
              <w:right w:val="single" w:sz="4" w:space="0" w:color="auto"/>
            </w:tcBorders>
            <w:noWrap/>
            <w:vAlign w:val="bottom"/>
            <w:hideMark/>
          </w:tcPr>
          <w:p w14:paraId="6500C7C0" w14:textId="77777777" w:rsidR="00304A89" w:rsidRDefault="00304A89">
            <w:pPr>
              <w:rPr>
                <w:rFonts w:ascii="Verdana" w:hAnsi="Verdana"/>
                <w:color w:val="000000"/>
                <w:sz w:val="16"/>
                <w:szCs w:val="16"/>
              </w:rPr>
            </w:pPr>
            <w:r>
              <w:rPr>
                <w:rFonts w:ascii="Verdana" w:hAnsi="Verdana"/>
                <w:color w:val="000000"/>
                <w:sz w:val="16"/>
                <w:szCs w:val="16"/>
              </w:rPr>
              <w:t>Typ vlaku</w:t>
            </w:r>
          </w:p>
        </w:tc>
        <w:tc>
          <w:tcPr>
            <w:tcW w:w="1660" w:type="dxa"/>
            <w:tcBorders>
              <w:top w:val="single" w:sz="8" w:space="0" w:color="auto"/>
              <w:left w:val="nil"/>
              <w:bottom w:val="single" w:sz="4" w:space="0" w:color="auto"/>
              <w:right w:val="single" w:sz="8" w:space="0" w:color="auto"/>
            </w:tcBorders>
            <w:noWrap/>
            <w:vAlign w:val="bottom"/>
            <w:hideMark/>
          </w:tcPr>
          <w:p w14:paraId="69FBEF15" w14:textId="77777777" w:rsidR="00304A89" w:rsidRDefault="00304A89">
            <w:pPr>
              <w:jc w:val="center"/>
              <w:rPr>
                <w:rFonts w:ascii="Verdana" w:hAnsi="Verdana"/>
                <w:color w:val="000000"/>
                <w:sz w:val="16"/>
                <w:szCs w:val="16"/>
              </w:rPr>
            </w:pPr>
            <w:r>
              <w:rPr>
                <w:rFonts w:ascii="Verdana" w:hAnsi="Verdana"/>
                <w:color w:val="000000"/>
                <w:sz w:val="16"/>
                <w:szCs w:val="16"/>
              </w:rPr>
              <w:t>hodnota</w:t>
            </w:r>
          </w:p>
        </w:tc>
        <w:tc>
          <w:tcPr>
            <w:tcW w:w="160" w:type="dxa"/>
            <w:noWrap/>
            <w:vAlign w:val="bottom"/>
            <w:hideMark/>
          </w:tcPr>
          <w:p w14:paraId="010FECC6" w14:textId="77777777" w:rsidR="00304A89" w:rsidRDefault="00304A89">
            <w:pPr>
              <w:rPr>
                <w:sz w:val="20"/>
                <w:szCs w:val="20"/>
              </w:rPr>
            </w:pPr>
          </w:p>
        </w:tc>
        <w:tc>
          <w:tcPr>
            <w:tcW w:w="840" w:type="dxa"/>
            <w:noWrap/>
            <w:vAlign w:val="bottom"/>
            <w:hideMark/>
          </w:tcPr>
          <w:p w14:paraId="5AFB09DF" w14:textId="77777777" w:rsidR="00304A89" w:rsidRDefault="00304A89">
            <w:pPr>
              <w:rPr>
                <w:sz w:val="20"/>
                <w:szCs w:val="20"/>
              </w:rPr>
            </w:pPr>
          </w:p>
        </w:tc>
        <w:tc>
          <w:tcPr>
            <w:tcW w:w="840" w:type="dxa"/>
            <w:noWrap/>
            <w:vAlign w:val="bottom"/>
            <w:hideMark/>
          </w:tcPr>
          <w:p w14:paraId="6BB694B7" w14:textId="77777777" w:rsidR="00304A89" w:rsidRDefault="00304A89">
            <w:pPr>
              <w:rPr>
                <w:sz w:val="20"/>
                <w:szCs w:val="20"/>
              </w:rPr>
            </w:pPr>
          </w:p>
        </w:tc>
        <w:tc>
          <w:tcPr>
            <w:tcW w:w="760" w:type="dxa"/>
            <w:noWrap/>
            <w:vAlign w:val="bottom"/>
            <w:hideMark/>
          </w:tcPr>
          <w:p w14:paraId="56741A94" w14:textId="77777777" w:rsidR="00304A89" w:rsidRDefault="00304A89">
            <w:pPr>
              <w:rPr>
                <w:sz w:val="20"/>
                <w:szCs w:val="20"/>
              </w:rPr>
            </w:pPr>
          </w:p>
        </w:tc>
        <w:tc>
          <w:tcPr>
            <w:tcW w:w="880" w:type="dxa"/>
            <w:noWrap/>
            <w:vAlign w:val="bottom"/>
            <w:hideMark/>
          </w:tcPr>
          <w:p w14:paraId="3F2C8166" w14:textId="77777777" w:rsidR="00304A89" w:rsidRDefault="00304A89">
            <w:pPr>
              <w:rPr>
                <w:sz w:val="20"/>
                <w:szCs w:val="20"/>
              </w:rPr>
            </w:pPr>
          </w:p>
        </w:tc>
      </w:tr>
      <w:tr w:rsidR="00304A89" w14:paraId="5F8438B1" w14:textId="77777777" w:rsidTr="00435BA6">
        <w:trPr>
          <w:trHeight w:val="276"/>
        </w:trPr>
        <w:tc>
          <w:tcPr>
            <w:tcW w:w="4720" w:type="dxa"/>
            <w:tcBorders>
              <w:top w:val="nil"/>
              <w:left w:val="single" w:sz="8" w:space="0" w:color="auto"/>
              <w:bottom w:val="single" w:sz="4" w:space="0" w:color="auto"/>
              <w:right w:val="single" w:sz="4" w:space="0" w:color="auto"/>
            </w:tcBorders>
            <w:noWrap/>
            <w:vAlign w:val="bottom"/>
            <w:hideMark/>
          </w:tcPr>
          <w:p w14:paraId="53C77B33" w14:textId="77777777" w:rsidR="00304A89" w:rsidRDefault="00304A89">
            <w:pPr>
              <w:rPr>
                <w:rFonts w:ascii="Verdana" w:hAnsi="Verdana"/>
                <w:color w:val="000000"/>
                <w:sz w:val="16"/>
                <w:szCs w:val="16"/>
              </w:rPr>
            </w:pPr>
            <w:r>
              <w:rPr>
                <w:rFonts w:ascii="Verdana" w:hAnsi="Verdana"/>
                <w:color w:val="000000"/>
                <w:sz w:val="16"/>
                <w:szCs w:val="16"/>
              </w:rPr>
              <w:t xml:space="preserve">Vlaky Ex a R (SC, EC, IC, Ex, R, </w:t>
            </w:r>
            <w:proofErr w:type="spellStart"/>
            <w:r>
              <w:rPr>
                <w:rFonts w:ascii="Verdana" w:hAnsi="Verdana"/>
                <w:color w:val="000000"/>
                <w:sz w:val="16"/>
                <w:szCs w:val="16"/>
              </w:rPr>
              <w:t>Sp</w:t>
            </w:r>
            <w:proofErr w:type="spellEnd"/>
            <w:r>
              <w:rPr>
                <w:rFonts w:ascii="Verdana" w:hAnsi="Verdana"/>
                <w:color w:val="000000"/>
                <w:sz w:val="16"/>
                <w:szCs w:val="16"/>
              </w:rPr>
              <w:t xml:space="preserve">, </w:t>
            </w:r>
            <w:proofErr w:type="spellStart"/>
            <w:r>
              <w:rPr>
                <w:rFonts w:ascii="Verdana" w:hAnsi="Verdana"/>
                <w:color w:val="000000"/>
                <w:sz w:val="16"/>
                <w:szCs w:val="16"/>
              </w:rPr>
              <w:t>Sv</w:t>
            </w:r>
            <w:proofErr w:type="spellEnd"/>
            <w:r>
              <w:rPr>
                <w:rFonts w:ascii="Verdana" w:hAnsi="Verdana"/>
                <w:color w:val="000000"/>
                <w:sz w:val="16"/>
                <w:szCs w:val="16"/>
              </w:rPr>
              <w:t>)</w:t>
            </w:r>
          </w:p>
        </w:tc>
        <w:tc>
          <w:tcPr>
            <w:tcW w:w="1660" w:type="dxa"/>
            <w:tcBorders>
              <w:top w:val="nil"/>
              <w:left w:val="nil"/>
              <w:bottom w:val="single" w:sz="4" w:space="0" w:color="auto"/>
              <w:right w:val="single" w:sz="8" w:space="0" w:color="auto"/>
            </w:tcBorders>
            <w:noWrap/>
            <w:vAlign w:val="bottom"/>
            <w:hideMark/>
          </w:tcPr>
          <w:p w14:paraId="26CE48B8" w14:textId="77777777" w:rsidR="00304A89" w:rsidRDefault="00304A89">
            <w:pPr>
              <w:jc w:val="center"/>
              <w:rPr>
                <w:rFonts w:ascii="Verdana" w:hAnsi="Verdana"/>
                <w:color w:val="000000"/>
                <w:sz w:val="16"/>
                <w:szCs w:val="16"/>
              </w:rPr>
            </w:pPr>
            <w:r>
              <w:rPr>
                <w:rFonts w:ascii="Verdana" w:hAnsi="Verdana"/>
                <w:color w:val="000000"/>
                <w:sz w:val="16"/>
                <w:szCs w:val="16"/>
              </w:rPr>
              <w:t>1,11</w:t>
            </w:r>
          </w:p>
        </w:tc>
        <w:tc>
          <w:tcPr>
            <w:tcW w:w="160" w:type="dxa"/>
            <w:noWrap/>
            <w:vAlign w:val="bottom"/>
            <w:hideMark/>
          </w:tcPr>
          <w:p w14:paraId="52C8719E" w14:textId="77777777" w:rsidR="00304A89" w:rsidRDefault="00304A89">
            <w:pPr>
              <w:rPr>
                <w:sz w:val="20"/>
                <w:szCs w:val="20"/>
              </w:rPr>
            </w:pPr>
          </w:p>
        </w:tc>
        <w:tc>
          <w:tcPr>
            <w:tcW w:w="840" w:type="dxa"/>
            <w:noWrap/>
            <w:vAlign w:val="bottom"/>
            <w:hideMark/>
          </w:tcPr>
          <w:p w14:paraId="6EBB8BC5" w14:textId="77777777" w:rsidR="00304A89" w:rsidRDefault="00304A89">
            <w:pPr>
              <w:rPr>
                <w:sz w:val="20"/>
                <w:szCs w:val="20"/>
              </w:rPr>
            </w:pPr>
          </w:p>
        </w:tc>
        <w:tc>
          <w:tcPr>
            <w:tcW w:w="840" w:type="dxa"/>
            <w:noWrap/>
            <w:vAlign w:val="bottom"/>
            <w:hideMark/>
          </w:tcPr>
          <w:p w14:paraId="2BEDE873" w14:textId="77777777" w:rsidR="00304A89" w:rsidRDefault="00304A89">
            <w:pPr>
              <w:rPr>
                <w:sz w:val="20"/>
                <w:szCs w:val="20"/>
              </w:rPr>
            </w:pPr>
          </w:p>
        </w:tc>
        <w:tc>
          <w:tcPr>
            <w:tcW w:w="760" w:type="dxa"/>
            <w:noWrap/>
            <w:vAlign w:val="bottom"/>
            <w:hideMark/>
          </w:tcPr>
          <w:p w14:paraId="60FB3C32" w14:textId="77777777" w:rsidR="00304A89" w:rsidRDefault="00304A89">
            <w:pPr>
              <w:rPr>
                <w:sz w:val="20"/>
                <w:szCs w:val="20"/>
              </w:rPr>
            </w:pPr>
          </w:p>
        </w:tc>
        <w:tc>
          <w:tcPr>
            <w:tcW w:w="880" w:type="dxa"/>
            <w:noWrap/>
            <w:vAlign w:val="bottom"/>
            <w:hideMark/>
          </w:tcPr>
          <w:p w14:paraId="214141C0" w14:textId="77777777" w:rsidR="00304A89" w:rsidRDefault="00304A89">
            <w:pPr>
              <w:rPr>
                <w:sz w:val="20"/>
                <w:szCs w:val="20"/>
              </w:rPr>
            </w:pPr>
          </w:p>
        </w:tc>
      </w:tr>
      <w:tr w:rsidR="00304A89" w14:paraId="30A146B3" w14:textId="77777777" w:rsidTr="00435BA6">
        <w:trPr>
          <w:trHeight w:val="276"/>
        </w:trPr>
        <w:tc>
          <w:tcPr>
            <w:tcW w:w="4720" w:type="dxa"/>
            <w:tcBorders>
              <w:top w:val="nil"/>
              <w:left w:val="single" w:sz="8" w:space="0" w:color="auto"/>
              <w:bottom w:val="single" w:sz="4" w:space="0" w:color="auto"/>
              <w:right w:val="single" w:sz="4" w:space="0" w:color="auto"/>
            </w:tcBorders>
            <w:noWrap/>
            <w:vAlign w:val="bottom"/>
            <w:hideMark/>
          </w:tcPr>
          <w:p w14:paraId="6E7FC540" w14:textId="77777777" w:rsidR="00304A89" w:rsidRDefault="00304A89">
            <w:pPr>
              <w:rPr>
                <w:rFonts w:ascii="Verdana" w:hAnsi="Verdana"/>
                <w:color w:val="000000"/>
                <w:sz w:val="16"/>
                <w:szCs w:val="16"/>
              </w:rPr>
            </w:pPr>
            <w:r>
              <w:rPr>
                <w:rFonts w:ascii="Verdana" w:hAnsi="Verdana"/>
                <w:color w:val="000000"/>
                <w:sz w:val="16"/>
                <w:szCs w:val="16"/>
              </w:rPr>
              <w:t>Vlaky Os (</w:t>
            </w:r>
            <w:proofErr w:type="spellStart"/>
            <w:r>
              <w:rPr>
                <w:rFonts w:ascii="Verdana" w:hAnsi="Verdana"/>
                <w:color w:val="000000"/>
                <w:sz w:val="16"/>
                <w:szCs w:val="16"/>
              </w:rPr>
              <w:t>zast</w:t>
            </w:r>
            <w:proofErr w:type="spellEnd"/>
            <w:r>
              <w:rPr>
                <w:rFonts w:ascii="Verdana" w:hAnsi="Verdana"/>
                <w:color w:val="000000"/>
                <w:sz w:val="16"/>
                <w:szCs w:val="16"/>
              </w:rPr>
              <w:t xml:space="preserve">. Os.  </w:t>
            </w:r>
            <w:proofErr w:type="gramStart"/>
            <w:r>
              <w:rPr>
                <w:rFonts w:ascii="Verdana" w:hAnsi="Verdana"/>
                <w:color w:val="000000"/>
                <w:sz w:val="16"/>
                <w:szCs w:val="16"/>
              </w:rPr>
              <w:t>vlaky</w:t>
            </w:r>
            <w:proofErr w:type="gramEnd"/>
            <w:r>
              <w:rPr>
                <w:rFonts w:ascii="Verdana" w:hAnsi="Verdana"/>
                <w:color w:val="000000"/>
                <w:sz w:val="16"/>
                <w:szCs w:val="16"/>
              </w:rPr>
              <w:t>, ostatní vlaky osobní dopravy)</w:t>
            </w:r>
          </w:p>
        </w:tc>
        <w:tc>
          <w:tcPr>
            <w:tcW w:w="1660" w:type="dxa"/>
            <w:tcBorders>
              <w:top w:val="nil"/>
              <w:left w:val="nil"/>
              <w:bottom w:val="single" w:sz="4" w:space="0" w:color="auto"/>
              <w:right w:val="single" w:sz="8" w:space="0" w:color="auto"/>
            </w:tcBorders>
            <w:noWrap/>
            <w:vAlign w:val="bottom"/>
            <w:hideMark/>
          </w:tcPr>
          <w:p w14:paraId="36BF181E" w14:textId="77777777" w:rsidR="00304A89" w:rsidRDefault="00304A89">
            <w:pPr>
              <w:jc w:val="center"/>
              <w:rPr>
                <w:rFonts w:ascii="Verdana" w:hAnsi="Verdana"/>
                <w:color w:val="000000"/>
                <w:sz w:val="16"/>
                <w:szCs w:val="16"/>
              </w:rPr>
            </w:pPr>
            <w:r>
              <w:rPr>
                <w:rFonts w:ascii="Verdana" w:hAnsi="Verdana"/>
                <w:color w:val="000000"/>
                <w:sz w:val="16"/>
                <w:szCs w:val="16"/>
              </w:rPr>
              <w:t>1,11</w:t>
            </w:r>
          </w:p>
        </w:tc>
        <w:tc>
          <w:tcPr>
            <w:tcW w:w="160" w:type="dxa"/>
            <w:noWrap/>
            <w:vAlign w:val="bottom"/>
            <w:hideMark/>
          </w:tcPr>
          <w:p w14:paraId="5C0D1814" w14:textId="77777777" w:rsidR="00304A89" w:rsidRDefault="00304A89">
            <w:pPr>
              <w:rPr>
                <w:sz w:val="20"/>
                <w:szCs w:val="20"/>
              </w:rPr>
            </w:pPr>
          </w:p>
        </w:tc>
        <w:tc>
          <w:tcPr>
            <w:tcW w:w="840" w:type="dxa"/>
            <w:noWrap/>
            <w:vAlign w:val="bottom"/>
            <w:hideMark/>
          </w:tcPr>
          <w:p w14:paraId="7D61A7A8" w14:textId="77777777" w:rsidR="00304A89" w:rsidRDefault="00304A89">
            <w:pPr>
              <w:rPr>
                <w:sz w:val="20"/>
                <w:szCs w:val="20"/>
              </w:rPr>
            </w:pPr>
          </w:p>
        </w:tc>
        <w:tc>
          <w:tcPr>
            <w:tcW w:w="840" w:type="dxa"/>
            <w:noWrap/>
            <w:vAlign w:val="bottom"/>
            <w:hideMark/>
          </w:tcPr>
          <w:p w14:paraId="2669C38E" w14:textId="77777777" w:rsidR="00304A89" w:rsidRDefault="00304A89">
            <w:pPr>
              <w:rPr>
                <w:sz w:val="20"/>
                <w:szCs w:val="20"/>
              </w:rPr>
            </w:pPr>
          </w:p>
        </w:tc>
        <w:tc>
          <w:tcPr>
            <w:tcW w:w="760" w:type="dxa"/>
            <w:noWrap/>
            <w:vAlign w:val="bottom"/>
            <w:hideMark/>
          </w:tcPr>
          <w:p w14:paraId="427FEB3D" w14:textId="77777777" w:rsidR="00304A89" w:rsidRDefault="00304A89">
            <w:pPr>
              <w:rPr>
                <w:sz w:val="20"/>
                <w:szCs w:val="20"/>
              </w:rPr>
            </w:pPr>
          </w:p>
        </w:tc>
        <w:tc>
          <w:tcPr>
            <w:tcW w:w="880" w:type="dxa"/>
            <w:noWrap/>
            <w:vAlign w:val="bottom"/>
            <w:hideMark/>
          </w:tcPr>
          <w:p w14:paraId="40705608" w14:textId="77777777" w:rsidR="00304A89" w:rsidRDefault="00304A89">
            <w:pPr>
              <w:rPr>
                <w:sz w:val="20"/>
                <w:szCs w:val="20"/>
              </w:rPr>
            </w:pPr>
          </w:p>
        </w:tc>
      </w:tr>
      <w:tr w:rsidR="00304A89" w14:paraId="145A7577" w14:textId="77777777" w:rsidTr="00435BA6">
        <w:trPr>
          <w:trHeight w:val="276"/>
        </w:trPr>
        <w:tc>
          <w:tcPr>
            <w:tcW w:w="4720" w:type="dxa"/>
            <w:tcBorders>
              <w:top w:val="nil"/>
              <w:left w:val="single" w:sz="8" w:space="0" w:color="auto"/>
              <w:bottom w:val="single" w:sz="4" w:space="0" w:color="auto"/>
              <w:right w:val="single" w:sz="4" w:space="0" w:color="auto"/>
            </w:tcBorders>
            <w:noWrap/>
            <w:vAlign w:val="bottom"/>
            <w:hideMark/>
          </w:tcPr>
          <w:p w14:paraId="36221A0B" w14:textId="77777777" w:rsidR="00304A89" w:rsidRDefault="00304A89">
            <w:pPr>
              <w:rPr>
                <w:rFonts w:ascii="Verdana" w:hAnsi="Verdana"/>
                <w:color w:val="000000"/>
                <w:sz w:val="16"/>
                <w:szCs w:val="16"/>
              </w:rPr>
            </w:pPr>
            <w:r>
              <w:rPr>
                <w:rFonts w:ascii="Verdana" w:hAnsi="Verdana"/>
                <w:color w:val="000000"/>
                <w:sz w:val="16"/>
                <w:szCs w:val="16"/>
              </w:rPr>
              <w:t xml:space="preserve">Vlaky nákladní (Nex, </w:t>
            </w:r>
            <w:proofErr w:type="spellStart"/>
            <w:r>
              <w:rPr>
                <w:rFonts w:ascii="Verdana" w:hAnsi="Verdana"/>
                <w:color w:val="000000"/>
                <w:sz w:val="16"/>
                <w:szCs w:val="16"/>
              </w:rPr>
              <w:t>Rn</w:t>
            </w:r>
            <w:proofErr w:type="spellEnd"/>
            <w:r>
              <w:rPr>
                <w:rFonts w:ascii="Verdana" w:hAnsi="Verdana"/>
                <w:color w:val="000000"/>
                <w:sz w:val="16"/>
                <w:szCs w:val="16"/>
              </w:rPr>
              <w:t xml:space="preserve">, </w:t>
            </w:r>
            <w:proofErr w:type="spellStart"/>
            <w:r>
              <w:rPr>
                <w:rFonts w:ascii="Verdana" w:hAnsi="Verdana"/>
                <w:color w:val="000000"/>
                <w:sz w:val="16"/>
                <w:szCs w:val="16"/>
              </w:rPr>
              <w:t>Pn</w:t>
            </w:r>
            <w:proofErr w:type="spellEnd"/>
            <w:r>
              <w:rPr>
                <w:rFonts w:ascii="Verdana" w:hAnsi="Verdana"/>
                <w:color w:val="000000"/>
                <w:sz w:val="16"/>
                <w:szCs w:val="16"/>
              </w:rPr>
              <w:t xml:space="preserve">, </w:t>
            </w:r>
            <w:proofErr w:type="spellStart"/>
            <w:r>
              <w:rPr>
                <w:rFonts w:ascii="Verdana" w:hAnsi="Verdana"/>
                <w:color w:val="000000"/>
                <w:sz w:val="16"/>
                <w:szCs w:val="16"/>
              </w:rPr>
              <w:t>Vn</w:t>
            </w:r>
            <w:proofErr w:type="spellEnd"/>
            <w:r>
              <w:rPr>
                <w:rFonts w:ascii="Verdana" w:hAnsi="Verdana"/>
                <w:color w:val="000000"/>
                <w:sz w:val="16"/>
                <w:szCs w:val="16"/>
              </w:rPr>
              <w:t xml:space="preserve">, </w:t>
            </w:r>
            <w:proofErr w:type="spellStart"/>
            <w:r>
              <w:rPr>
                <w:rFonts w:ascii="Verdana" w:hAnsi="Verdana"/>
                <w:color w:val="000000"/>
                <w:sz w:val="16"/>
                <w:szCs w:val="16"/>
              </w:rPr>
              <w:t>Mn+Vleč</w:t>
            </w:r>
            <w:proofErr w:type="spellEnd"/>
            <w:r>
              <w:rPr>
                <w:rFonts w:ascii="Verdana" w:hAnsi="Verdana"/>
                <w:color w:val="000000"/>
                <w:sz w:val="16"/>
                <w:szCs w:val="16"/>
              </w:rPr>
              <w:t>)</w:t>
            </w:r>
          </w:p>
        </w:tc>
        <w:tc>
          <w:tcPr>
            <w:tcW w:w="1660" w:type="dxa"/>
            <w:tcBorders>
              <w:top w:val="nil"/>
              <w:left w:val="nil"/>
              <w:bottom w:val="single" w:sz="4" w:space="0" w:color="auto"/>
              <w:right w:val="single" w:sz="8" w:space="0" w:color="auto"/>
            </w:tcBorders>
            <w:noWrap/>
            <w:vAlign w:val="bottom"/>
            <w:hideMark/>
          </w:tcPr>
          <w:p w14:paraId="554DE9BE" w14:textId="77777777" w:rsidR="00304A89" w:rsidRDefault="00304A89">
            <w:pPr>
              <w:jc w:val="center"/>
              <w:rPr>
                <w:rFonts w:ascii="Verdana" w:hAnsi="Verdana"/>
                <w:color w:val="000000"/>
                <w:sz w:val="16"/>
                <w:szCs w:val="16"/>
              </w:rPr>
            </w:pPr>
            <w:r>
              <w:rPr>
                <w:rFonts w:ascii="Verdana" w:hAnsi="Verdana"/>
                <w:color w:val="000000"/>
                <w:sz w:val="16"/>
                <w:szCs w:val="16"/>
              </w:rPr>
              <w:t>1,08</w:t>
            </w:r>
          </w:p>
        </w:tc>
        <w:tc>
          <w:tcPr>
            <w:tcW w:w="160" w:type="dxa"/>
            <w:noWrap/>
            <w:vAlign w:val="bottom"/>
            <w:hideMark/>
          </w:tcPr>
          <w:p w14:paraId="290CFE62" w14:textId="77777777" w:rsidR="00304A89" w:rsidRDefault="00304A89">
            <w:pPr>
              <w:rPr>
                <w:sz w:val="20"/>
                <w:szCs w:val="20"/>
              </w:rPr>
            </w:pPr>
          </w:p>
        </w:tc>
        <w:tc>
          <w:tcPr>
            <w:tcW w:w="840" w:type="dxa"/>
            <w:noWrap/>
            <w:vAlign w:val="bottom"/>
            <w:hideMark/>
          </w:tcPr>
          <w:p w14:paraId="7287BFB4" w14:textId="77777777" w:rsidR="00304A89" w:rsidRDefault="00304A89">
            <w:pPr>
              <w:rPr>
                <w:sz w:val="20"/>
                <w:szCs w:val="20"/>
              </w:rPr>
            </w:pPr>
          </w:p>
        </w:tc>
        <w:tc>
          <w:tcPr>
            <w:tcW w:w="840" w:type="dxa"/>
            <w:noWrap/>
            <w:vAlign w:val="bottom"/>
            <w:hideMark/>
          </w:tcPr>
          <w:p w14:paraId="5CD24EE1" w14:textId="77777777" w:rsidR="00304A89" w:rsidRDefault="00304A89">
            <w:pPr>
              <w:rPr>
                <w:sz w:val="20"/>
                <w:szCs w:val="20"/>
              </w:rPr>
            </w:pPr>
          </w:p>
        </w:tc>
        <w:tc>
          <w:tcPr>
            <w:tcW w:w="760" w:type="dxa"/>
            <w:noWrap/>
            <w:vAlign w:val="bottom"/>
            <w:hideMark/>
          </w:tcPr>
          <w:p w14:paraId="0B28FC90" w14:textId="77777777" w:rsidR="00304A89" w:rsidRDefault="00304A89">
            <w:pPr>
              <w:rPr>
                <w:sz w:val="20"/>
                <w:szCs w:val="20"/>
              </w:rPr>
            </w:pPr>
          </w:p>
        </w:tc>
        <w:tc>
          <w:tcPr>
            <w:tcW w:w="880" w:type="dxa"/>
            <w:noWrap/>
            <w:vAlign w:val="bottom"/>
            <w:hideMark/>
          </w:tcPr>
          <w:p w14:paraId="3E6DC63A" w14:textId="77777777" w:rsidR="00304A89" w:rsidRDefault="00304A89">
            <w:pPr>
              <w:rPr>
                <w:sz w:val="20"/>
                <w:szCs w:val="20"/>
              </w:rPr>
            </w:pPr>
          </w:p>
        </w:tc>
      </w:tr>
      <w:tr w:rsidR="00304A89" w14:paraId="38AB5F2B" w14:textId="77777777" w:rsidTr="00435BA6">
        <w:trPr>
          <w:trHeight w:val="288"/>
        </w:trPr>
        <w:tc>
          <w:tcPr>
            <w:tcW w:w="4720" w:type="dxa"/>
            <w:tcBorders>
              <w:top w:val="nil"/>
              <w:left w:val="single" w:sz="8" w:space="0" w:color="auto"/>
              <w:bottom w:val="single" w:sz="8" w:space="0" w:color="auto"/>
              <w:right w:val="single" w:sz="4" w:space="0" w:color="auto"/>
            </w:tcBorders>
            <w:noWrap/>
            <w:vAlign w:val="bottom"/>
            <w:hideMark/>
          </w:tcPr>
          <w:p w14:paraId="6D591A43" w14:textId="77777777" w:rsidR="00304A89" w:rsidRDefault="00304A89">
            <w:pPr>
              <w:rPr>
                <w:rFonts w:ascii="Verdana" w:hAnsi="Verdana"/>
                <w:color w:val="000000"/>
                <w:sz w:val="16"/>
                <w:szCs w:val="16"/>
              </w:rPr>
            </w:pPr>
            <w:r>
              <w:rPr>
                <w:rFonts w:ascii="Verdana" w:hAnsi="Verdana"/>
                <w:color w:val="000000"/>
                <w:sz w:val="16"/>
                <w:szCs w:val="16"/>
              </w:rPr>
              <w:t>Ostatní vlaky (lokomotivní)</w:t>
            </w:r>
          </w:p>
        </w:tc>
        <w:tc>
          <w:tcPr>
            <w:tcW w:w="1660" w:type="dxa"/>
            <w:tcBorders>
              <w:top w:val="nil"/>
              <w:left w:val="nil"/>
              <w:bottom w:val="single" w:sz="8" w:space="0" w:color="auto"/>
              <w:right w:val="single" w:sz="8" w:space="0" w:color="auto"/>
            </w:tcBorders>
            <w:noWrap/>
            <w:vAlign w:val="bottom"/>
            <w:hideMark/>
          </w:tcPr>
          <w:p w14:paraId="0E5179D9" w14:textId="77777777" w:rsidR="00304A89" w:rsidRDefault="00304A89">
            <w:pPr>
              <w:jc w:val="center"/>
              <w:rPr>
                <w:rFonts w:ascii="Verdana" w:hAnsi="Verdana"/>
                <w:color w:val="000000"/>
                <w:sz w:val="16"/>
                <w:szCs w:val="16"/>
              </w:rPr>
            </w:pPr>
            <w:r>
              <w:rPr>
                <w:rFonts w:ascii="Verdana" w:hAnsi="Verdana"/>
                <w:color w:val="000000"/>
                <w:sz w:val="16"/>
                <w:szCs w:val="16"/>
              </w:rPr>
              <w:t>1</w:t>
            </w:r>
          </w:p>
        </w:tc>
        <w:tc>
          <w:tcPr>
            <w:tcW w:w="160" w:type="dxa"/>
            <w:noWrap/>
            <w:vAlign w:val="bottom"/>
            <w:hideMark/>
          </w:tcPr>
          <w:p w14:paraId="66BC36E6" w14:textId="77777777" w:rsidR="00304A89" w:rsidRDefault="00304A89">
            <w:pPr>
              <w:rPr>
                <w:sz w:val="20"/>
                <w:szCs w:val="20"/>
              </w:rPr>
            </w:pPr>
          </w:p>
        </w:tc>
        <w:tc>
          <w:tcPr>
            <w:tcW w:w="840" w:type="dxa"/>
            <w:noWrap/>
            <w:vAlign w:val="bottom"/>
            <w:hideMark/>
          </w:tcPr>
          <w:p w14:paraId="5D92F0D1" w14:textId="77777777" w:rsidR="00304A89" w:rsidRDefault="00304A89">
            <w:pPr>
              <w:rPr>
                <w:sz w:val="20"/>
                <w:szCs w:val="20"/>
              </w:rPr>
            </w:pPr>
          </w:p>
        </w:tc>
        <w:tc>
          <w:tcPr>
            <w:tcW w:w="840" w:type="dxa"/>
            <w:noWrap/>
            <w:vAlign w:val="bottom"/>
            <w:hideMark/>
          </w:tcPr>
          <w:p w14:paraId="692D64E7" w14:textId="77777777" w:rsidR="00304A89" w:rsidRDefault="00304A89">
            <w:pPr>
              <w:rPr>
                <w:sz w:val="20"/>
                <w:szCs w:val="20"/>
              </w:rPr>
            </w:pPr>
          </w:p>
        </w:tc>
        <w:tc>
          <w:tcPr>
            <w:tcW w:w="760" w:type="dxa"/>
            <w:noWrap/>
            <w:vAlign w:val="bottom"/>
            <w:hideMark/>
          </w:tcPr>
          <w:p w14:paraId="0D84F01A" w14:textId="77777777" w:rsidR="00304A89" w:rsidRDefault="00304A89">
            <w:pPr>
              <w:rPr>
                <w:sz w:val="20"/>
                <w:szCs w:val="20"/>
              </w:rPr>
            </w:pPr>
          </w:p>
        </w:tc>
        <w:tc>
          <w:tcPr>
            <w:tcW w:w="880" w:type="dxa"/>
            <w:noWrap/>
            <w:vAlign w:val="bottom"/>
            <w:hideMark/>
          </w:tcPr>
          <w:p w14:paraId="3FFBC46D" w14:textId="77777777" w:rsidR="00304A89" w:rsidRDefault="00304A89">
            <w:pPr>
              <w:rPr>
                <w:sz w:val="20"/>
                <w:szCs w:val="20"/>
              </w:rPr>
            </w:pPr>
          </w:p>
        </w:tc>
      </w:tr>
    </w:tbl>
    <w:p w14:paraId="216EB8BC" w14:textId="77777777" w:rsidR="00304A89" w:rsidRDefault="00304A89" w:rsidP="00304A89">
      <w:pPr>
        <w:rPr>
          <w:rFonts w:ascii="Arial" w:hAnsi="Arial" w:cs="Arial"/>
          <w:sz w:val="20"/>
        </w:rPr>
      </w:pPr>
    </w:p>
    <w:p w14:paraId="683FAB0C" w14:textId="18A9FC51" w:rsidR="00304A89" w:rsidRDefault="00304A89" w:rsidP="00304A89">
      <w:pPr>
        <w:rPr>
          <w:rFonts w:ascii="Arial" w:hAnsi="Arial" w:cs="Arial"/>
          <w:sz w:val="20"/>
          <w:szCs w:val="20"/>
        </w:rPr>
      </w:pPr>
      <w:r>
        <w:rPr>
          <w:rFonts w:ascii="Verdana" w:hAnsi="Verdana"/>
          <w:color w:val="000000"/>
          <w:sz w:val="16"/>
          <w:szCs w:val="16"/>
        </w:rPr>
        <w:t>Celkový bilanční koeficient pro trakční soustavu 5% (průměrná roční hodnota).</w:t>
      </w:r>
      <w:r>
        <w:rPr>
          <w:rFonts w:ascii="Arial" w:hAnsi="Arial" w:cs="Arial"/>
          <w:sz w:val="20"/>
          <w:szCs w:val="20"/>
        </w:rPr>
        <w:t xml:space="preserve"> </w:t>
      </w:r>
    </w:p>
    <w:p w14:paraId="507FDCD6" w14:textId="77777777" w:rsidR="00247824" w:rsidRPr="00BC3B0C" w:rsidRDefault="00247824" w:rsidP="00247824">
      <w:pPr>
        <w:spacing w:after="120"/>
        <w:jc w:val="center"/>
        <w:rPr>
          <w:rFonts w:ascii="Arial" w:hAnsi="Arial" w:cs="Arial"/>
          <w:sz w:val="20"/>
          <w:szCs w:val="20"/>
        </w:rPr>
      </w:pPr>
    </w:p>
    <w:sectPr w:rsidR="00247824" w:rsidRPr="00BC3B0C" w:rsidSect="00401B99">
      <w:headerReference w:type="default" r:id="rId9"/>
      <w:footerReference w:type="default" r:id="rId10"/>
      <w:headerReference w:type="first" r:id="rId11"/>
      <w:pgSz w:w="11906" w:h="16838" w:code="9"/>
      <w:pgMar w:top="1418" w:right="1134" w:bottom="1418"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7A956" w14:textId="77777777" w:rsidR="00146DD3" w:rsidRDefault="00146DD3">
      <w:r>
        <w:separator/>
      </w:r>
    </w:p>
  </w:endnote>
  <w:endnote w:type="continuationSeparator" w:id="0">
    <w:p w14:paraId="57037DCA" w14:textId="77777777" w:rsidR="00146DD3" w:rsidRDefault="00146DD3">
      <w:r>
        <w:continuationSeparator/>
      </w:r>
    </w:p>
  </w:endnote>
  <w:endnote w:type="continuationNotice" w:id="1">
    <w:p w14:paraId="08098843" w14:textId="77777777" w:rsidR="00146DD3" w:rsidRDefault="00146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31DA" w14:textId="77777777" w:rsidR="00313BA6" w:rsidRDefault="00313BA6" w:rsidP="00046A0C">
    <w:pPr>
      <w:pStyle w:val="Zpat"/>
      <w:jc w:val="center"/>
      <w:rPr>
        <w:rStyle w:val="slostrnky"/>
        <w:rFonts w:ascii="Arial" w:hAnsi="Arial" w:cs="Arial"/>
        <w:sz w:val="18"/>
        <w:szCs w:val="18"/>
      </w:rPr>
    </w:pPr>
  </w:p>
  <w:p w14:paraId="4F556238" w14:textId="6108E91C" w:rsidR="00313BA6" w:rsidRPr="00046A0C" w:rsidRDefault="00313BA6" w:rsidP="00046A0C">
    <w:pPr>
      <w:pStyle w:val="Zpat"/>
      <w:jc w:val="center"/>
      <w:rPr>
        <w:rFonts w:ascii="Arial" w:hAnsi="Arial" w:cs="Arial"/>
        <w:sz w:val="18"/>
        <w:szCs w:val="18"/>
      </w:rPr>
    </w:pPr>
    <w:r w:rsidRPr="00046A0C">
      <w:rPr>
        <w:rStyle w:val="slostrnky"/>
        <w:rFonts w:ascii="Arial" w:hAnsi="Arial" w:cs="Arial"/>
        <w:sz w:val="18"/>
        <w:szCs w:val="18"/>
      </w:rPr>
      <w:fldChar w:fldCharType="begin"/>
    </w:r>
    <w:r w:rsidRPr="00046A0C">
      <w:rPr>
        <w:rStyle w:val="slostrnky"/>
        <w:rFonts w:ascii="Arial" w:hAnsi="Arial" w:cs="Arial"/>
        <w:sz w:val="18"/>
        <w:szCs w:val="18"/>
      </w:rPr>
      <w:instrText xml:space="preserve"> PAGE </w:instrText>
    </w:r>
    <w:r w:rsidRPr="00046A0C">
      <w:rPr>
        <w:rStyle w:val="slostrnky"/>
        <w:rFonts w:ascii="Arial" w:hAnsi="Arial" w:cs="Arial"/>
        <w:sz w:val="18"/>
        <w:szCs w:val="18"/>
      </w:rPr>
      <w:fldChar w:fldCharType="separate"/>
    </w:r>
    <w:r w:rsidR="0063636A">
      <w:rPr>
        <w:rStyle w:val="slostrnky"/>
        <w:rFonts w:ascii="Arial" w:hAnsi="Arial" w:cs="Arial"/>
        <w:noProof/>
        <w:sz w:val="18"/>
        <w:szCs w:val="18"/>
      </w:rPr>
      <w:t>14</w:t>
    </w:r>
    <w:r w:rsidRPr="00046A0C">
      <w:rPr>
        <w:rStyle w:val="slostrnky"/>
        <w:rFonts w:ascii="Arial" w:hAnsi="Arial" w:cs="Arial"/>
        <w:sz w:val="18"/>
        <w:szCs w:val="18"/>
      </w:rPr>
      <w:fldChar w:fldCharType="end"/>
    </w:r>
    <w:r w:rsidRPr="00046A0C">
      <w:rPr>
        <w:rStyle w:val="slostrnky"/>
        <w:rFonts w:ascii="Arial" w:hAnsi="Arial" w:cs="Arial"/>
        <w:sz w:val="18"/>
        <w:szCs w:val="18"/>
      </w:rPr>
      <w:t xml:space="preserve"> / </w:t>
    </w:r>
    <w:r w:rsidRPr="00046A0C">
      <w:rPr>
        <w:rStyle w:val="slostrnky"/>
        <w:rFonts w:ascii="Arial" w:hAnsi="Arial" w:cs="Arial"/>
        <w:sz w:val="18"/>
        <w:szCs w:val="18"/>
      </w:rPr>
      <w:fldChar w:fldCharType="begin"/>
    </w:r>
    <w:r w:rsidRPr="00046A0C">
      <w:rPr>
        <w:rStyle w:val="slostrnky"/>
        <w:rFonts w:ascii="Arial" w:hAnsi="Arial" w:cs="Arial"/>
        <w:sz w:val="18"/>
        <w:szCs w:val="18"/>
      </w:rPr>
      <w:instrText xml:space="preserve"> NUMPAGES </w:instrText>
    </w:r>
    <w:r w:rsidRPr="00046A0C">
      <w:rPr>
        <w:rStyle w:val="slostrnky"/>
        <w:rFonts w:ascii="Arial" w:hAnsi="Arial" w:cs="Arial"/>
        <w:sz w:val="18"/>
        <w:szCs w:val="18"/>
      </w:rPr>
      <w:fldChar w:fldCharType="separate"/>
    </w:r>
    <w:r w:rsidR="0063636A">
      <w:rPr>
        <w:rStyle w:val="slostrnky"/>
        <w:rFonts w:ascii="Arial" w:hAnsi="Arial" w:cs="Arial"/>
        <w:noProof/>
        <w:sz w:val="18"/>
        <w:szCs w:val="18"/>
      </w:rPr>
      <w:t>14</w:t>
    </w:r>
    <w:r w:rsidRPr="00046A0C">
      <w:rPr>
        <w:rStyle w:val="slostrnky"/>
        <w:rFonts w:ascii="Arial" w:hAnsi="Arial" w:cs="Arial"/>
        <w:sz w:val="18"/>
        <w:szCs w:val="18"/>
      </w:rPr>
      <w:fldChar w:fldCharType="end"/>
    </w:r>
  </w:p>
  <w:p w14:paraId="19A5D916" w14:textId="77777777" w:rsidR="00313BA6" w:rsidRDefault="00313BA6">
    <w:r>
      <w:rPr>
        <w:rStyle w:val="slostrnk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AD15B" w14:textId="77777777" w:rsidR="00146DD3" w:rsidRDefault="00146DD3">
      <w:r>
        <w:separator/>
      </w:r>
    </w:p>
  </w:footnote>
  <w:footnote w:type="continuationSeparator" w:id="0">
    <w:p w14:paraId="3156D706" w14:textId="77777777" w:rsidR="00146DD3" w:rsidRDefault="00146DD3">
      <w:r>
        <w:continuationSeparator/>
      </w:r>
    </w:p>
  </w:footnote>
  <w:footnote w:type="continuationNotice" w:id="1">
    <w:p w14:paraId="3B81CB7B" w14:textId="77777777" w:rsidR="00146DD3" w:rsidRDefault="00146D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D74E" w14:textId="77777777" w:rsidR="00313BA6" w:rsidRDefault="00313BA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73B8" w14:textId="11DBC6DF" w:rsidR="00313BA6" w:rsidRDefault="00313BA6" w:rsidP="00401B99">
    <w:pPr>
      <w:pStyle w:val="Zhlav"/>
    </w:pPr>
    <w:r>
      <w:rPr>
        <w:i/>
        <w:sz w:val="20"/>
        <w:szCs w:val="20"/>
      </w:rPr>
      <w:t xml:space="preserve"> </w:t>
    </w:r>
  </w:p>
  <w:p w14:paraId="4B03F377" w14:textId="66D886B4" w:rsidR="00313BA6" w:rsidRDefault="00313BA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2A5"/>
    <w:multiLevelType w:val="hybridMultilevel"/>
    <w:tmpl w:val="D87A7530"/>
    <w:lvl w:ilvl="0" w:tplc="30127F4E">
      <w:start w:val="1"/>
      <w:numFmt w:val="decimal"/>
      <w:lvlText w:val="%1."/>
      <w:lvlJc w:val="left"/>
      <w:pPr>
        <w:ind w:left="723" w:hanging="360"/>
      </w:p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 w15:restartNumberingAfterBreak="0">
    <w:nsid w:val="0AA8788F"/>
    <w:multiLevelType w:val="hybridMultilevel"/>
    <w:tmpl w:val="9AC296D4"/>
    <w:lvl w:ilvl="0" w:tplc="DA941208">
      <w:start w:val="1"/>
      <w:numFmt w:val="ordinal"/>
      <w:lvlText w:val="6.%1"/>
      <w:lvlJc w:val="left"/>
      <w:pPr>
        <w:ind w:left="4480" w:hanging="360"/>
      </w:pPr>
      <w:rPr>
        <w:rFonts w:hint="default"/>
        <w:b w:val="0"/>
      </w:rPr>
    </w:lvl>
    <w:lvl w:ilvl="1" w:tplc="04050019" w:tentative="1">
      <w:start w:val="1"/>
      <w:numFmt w:val="lowerLetter"/>
      <w:lvlText w:val="%2."/>
      <w:lvlJc w:val="left"/>
      <w:pPr>
        <w:ind w:left="5200" w:hanging="360"/>
      </w:pPr>
    </w:lvl>
    <w:lvl w:ilvl="2" w:tplc="0405001B" w:tentative="1">
      <w:start w:val="1"/>
      <w:numFmt w:val="lowerRoman"/>
      <w:lvlText w:val="%3."/>
      <w:lvlJc w:val="right"/>
      <w:pPr>
        <w:ind w:left="5920" w:hanging="180"/>
      </w:pPr>
    </w:lvl>
    <w:lvl w:ilvl="3" w:tplc="0405000F" w:tentative="1">
      <w:start w:val="1"/>
      <w:numFmt w:val="decimal"/>
      <w:lvlText w:val="%4."/>
      <w:lvlJc w:val="left"/>
      <w:pPr>
        <w:ind w:left="6640" w:hanging="360"/>
      </w:pPr>
    </w:lvl>
    <w:lvl w:ilvl="4" w:tplc="04050019" w:tentative="1">
      <w:start w:val="1"/>
      <w:numFmt w:val="lowerLetter"/>
      <w:lvlText w:val="%5."/>
      <w:lvlJc w:val="left"/>
      <w:pPr>
        <w:ind w:left="7360" w:hanging="360"/>
      </w:pPr>
    </w:lvl>
    <w:lvl w:ilvl="5" w:tplc="0405001B" w:tentative="1">
      <w:start w:val="1"/>
      <w:numFmt w:val="lowerRoman"/>
      <w:lvlText w:val="%6."/>
      <w:lvlJc w:val="right"/>
      <w:pPr>
        <w:ind w:left="8080" w:hanging="180"/>
      </w:pPr>
    </w:lvl>
    <w:lvl w:ilvl="6" w:tplc="0405000F" w:tentative="1">
      <w:start w:val="1"/>
      <w:numFmt w:val="decimal"/>
      <w:lvlText w:val="%7."/>
      <w:lvlJc w:val="left"/>
      <w:pPr>
        <w:ind w:left="8800" w:hanging="360"/>
      </w:pPr>
    </w:lvl>
    <w:lvl w:ilvl="7" w:tplc="04050019" w:tentative="1">
      <w:start w:val="1"/>
      <w:numFmt w:val="lowerLetter"/>
      <w:lvlText w:val="%8."/>
      <w:lvlJc w:val="left"/>
      <w:pPr>
        <w:ind w:left="9520" w:hanging="360"/>
      </w:pPr>
    </w:lvl>
    <w:lvl w:ilvl="8" w:tplc="0405001B" w:tentative="1">
      <w:start w:val="1"/>
      <w:numFmt w:val="lowerRoman"/>
      <w:lvlText w:val="%9."/>
      <w:lvlJc w:val="right"/>
      <w:pPr>
        <w:ind w:left="10240" w:hanging="180"/>
      </w:pPr>
    </w:lvl>
  </w:abstractNum>
  <w:abstractNum w:abstractNumId="2" w15:restartNumberingAfterBreak="0">
    <w:nsid w:val="0BA607D2"/>
    <w:multiLevelType w:val="hybridMultilevel"/>
    <w:tmpl w:val="5CCED3BC"/>
    <w:lvl w:ilvl="0" w:tplc="239EEAAC">
      <w:start w:val="1"/>
      <w:numFmt w:val="ordinal"/>
      <w:lvlText w:val="16.%1"/>
      <w:lvlJc w:val="left"/>
      <w:pPr>
        <w:ind w:left="720" w:hanging="360"/>
      </w:pPr>
      <w:rPr>
        <w:rFonts w:hint="default"/>
        <w:b w:val="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204CEF"/>
    <w:multiLevelType w:val="hybridMultilevel"/>
    <w:tmpl w:val="D040B146"/>
    <w:lvl w:ilvl="0" w:tplc="699885F6">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A156F3"/>
    <w:multiLevelType w:val="hybridMultilevel"/>
    <w:tmpl w:val="048A75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AD2735"/>
    <w:multiLevelType w:val="hybridMultilevel"/>
    <w:tmpl w:val="0018E28E"/>
    <w:lvl w:ilvl="0" w:tplc="08E2294E">
      <w:start w:val="1"/>
      <w:numFmt w:val="decimal"/>
      <w:lvlText w:val="%1."/>
      <w:lvlJc w:val="left"/>
      <w:pPr>
        <w:ind w:left="760" w:hanging="4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5A4EFE"/>
    <w:multiLevelType w:val="hybridMultilevel"/>
    <w:tmpl w:val="7568988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9952181"/>
    <w:multiLevelType w:val="hybridMultilevel"/>
    <w:tmpl w:val="327041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913D2B"/>
    <w:multiLevelType w:val="hybridMultilevel"/>
    <w:tmpl w:val="98F4389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0120C3F"/>
    <w:multiLevelType w:val="hybridMultilevel"/>
    <w:tmpl w:val="14FEDC96"/>
    <w:lvl w:ilvl="0" w:tplc="AF6C4764">
      <w:start w:val="1"/>
      <w:numFmt w:val="bullet"/>
      <w:pStyle w:val="odrky1"/>
      <w:lvlText w:val="­"/>
      <w:lvlJc w:val="left"/>
      <w:pPr>
        <w:tabs>
          <w:tab w:val="num" w:pos="1352"/>
        </w:tabs>
        <w:ind w:left="1352" w:hanging="360"/>
      </w:pPr>
      <w:rPr>
        <w:rFonts w:ascii="Courier New" w:hAnsi="Courier New" w:hint="default"/>
      </w:rPr>
    </w:lvl>
    <w:lvl w:ilvl="1" w:tplc="04050019" w:tentative="1">
      <w:start w:val="1"/>
      <w:numFmt w:val="lowerLetter"/>
      <w:lvlText w:val="%2."/>
      <w:lvlJc w:val="left"/>
      <w:pPr>
        <w:tabs>
          <w:tab w:val="num" w:pos="1865"/>
        </w:tabs>
        <w:ind w:left="1865" w:hanging="360"/>
      </w:pPr>
    </w:lvl>
    <w:lvl w:ilvl="2" w:tplc="0405001B" w:tentative="1">
      <w:start w:val="1"/>
      <w:numFmt w:val="lowerRoman"/>
      <w:lvlText w:val="%3."/>
      <w:lvlJc w:val="right"/>
      <w:pPr>
        <w:tabs>
          <w:tab w:val="num" w:pos="2585"/>
        </w:tabs>
        <w:ind w:left="2585" w:hanging="180"/>
      </w:pPr>
    </w:lvl>
    <w:lvl w:ilvl="3" w:tplc="0405000F" w:tentative="1">
      <w:start w:val="1"/>
      <w:numFmt w:val="decimal"/>
      <w:lvlText w:val="%4."/>
      <w:lvlJc w:val="left"/>
      <w:pPr>
        <w:tabs>
          <w:tab w:val="num" w:pos="3305"/>
        </w:tabs>
        <w:ind w:left="3305" w:hanging="360"/>
      </w:pPr>
    </w:lvl>
    <w:lvl w:ilvl="4" w:tplc="04050019" w:tentative="1">
      <w:start w:val="1"/>
      <w:numFmt w:val="lowerLetter"/>
      <w:lvlText w:val="%5."/>
      <w:lvlJc w:val="left"/>
      <w:pPr>
        <w:tabs>
          <w:tab w:val="num" w:pos="4025"/>
        </w:tabs>
        <w:ind w:left="4025" w:hanging="360"/>
      </w:pPr>
    </w:lvl>
    <w:lvl w:ilvl="5" w:tplc="0405001B" w:tentative="1">
      <w:start w:val="1"/>
      <w:numFmt w:val="lowerRoman"/>
      <w:lvlText w:val="%6."/>
      <w:lvlJc w:val="right"/>
      <w:pPr>
        <w:tabs>
          <w:tab w:val="num" w:pos="4745"/>
        </w:tabs>
        <w:ind w:left="4745" w:hanging="180"/>
      </w:pPr>
    </w:lvl>
    <w:lvl w:ilvl="6" w:tplc="0405000F" w:tentative="1">
      <w:start w:val="1"/>
      <w:numFmt w:val="decimal"/>
      <w:lvlText w:val="%7."/>
      <w:lvlJc w:val="left"/>
      <w:pPr>
        <w:tabs>
          <w:tab w:val="num" w:pos="5465"/>
        </w:tabs>
        <w:ind w:left="5465" w:hanging="360"/>
      </w:pPr>
    </w:lvl>
    <w:lvl w:ilvl="7" w:tplc="04050019" w:tentative="1">
      <w:start w:val="1"/>
      <w:numFmt w:val="lowerLetter"/>
      <w:lvlText w:val="%8."/>
      <w:lvlJc w:val="left"/>
      <w:pPr>
        <w:tabs>
          <w:tab w:val="num" w:pos="6185"/>
        </w:tabs>
        <w:ind w:left="6185" w:hanging="360"/>
      </w:pPr>
    </w:lvl>
    <w:lvl w:ilvl="8" w:tplc="0405001B" w:tentative="1">
      <w:start w:val="1"/>
      <w:numFmt w:val="lowerRoman"/>
      <w:lvlText w:val="%9."/>
      <w:lvlJc w:val="right"/>
      <w:pPr>
        <w:tabs>
          <w:tab w:val="num" w:pos="6905"/>
        </w:tabs>
        <w:ind w:left="6905" w:hanging="180"/>
      </w:pPr>
    </w:lvl>
  </w:abstractNum>
  <w:abstractNum w:abstractNumId="10" w15:restartNumberingAfterBreak="0">
    <w:nsid w:val="207F5E0E"/>
    <w:multiLevelType w:val="hybridMultilevel"/>
    <w:tmpl w:val="AF668DB4"/>
    <w:lvl w:ilvl="0" w:tplc="6052BC5C">
      <w:start w:val="1"/>
      <w:numFmt w:val="decimal"/>
      <w:lvlText w:val="%1."/>
      <w:lvlJc w:val="left"/>
      <w:pPr>
        <w:ind w:left="760" w:hanging="4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8708EC"/>
    <w:multiLevelType w:val="hybridMultilevel"/>
    <w:tmpl w:val="EFA408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3B1442"/>
    <w:multiLevelType w:val="hybridMultilevel"/>
    <w:tmpl w:val="D8E8DCF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70076F9"/>
    <w:multiLevelType w:val="hybridMultilevel"/>
    <w:tmpl w:val="5BD6AAEC"/>
    <w:lvl w:ilvl="0" w:tplc="CBF8753E">
      <w:numFmt w:val="bullet"/>
      <w:lvlText w:val="–"/>
      <w:lvlJc w:val="left"/>
      <w:pPr>
        <w:tabs>
          <w:tab w:val="num" w:pos="2340"/>
        </w:tabs>
        <w:ind w:left="2340" w:hanging="360"/>
      </w:pPr>
      <w:rPr>
        <w:rFonts w:ascii="Arial" w:eastAsia="Times New Roman" w:hAnsi="Arial" w:cs="Arial" w:hint="default"/>
      </w:rPr>
    </w:lvl>
    <w:lvl w:ilvl="1" w:tplc="04050003">
      <w:start w:val="1"/>
      <w:numFmt w:val="bullet"/>
      <w:lvlText w:val="o"/>
      <w:lvlJc w:val="left"/>
      <w:pPr>
        <w:tabs>
          <w:tab w:val="num" w:pos="3060"/>
        </w:tabs>
        <w:ind w:left="3060" w:hanging="360"/>
      </w:pPr>
      <w:rPr>
        <w:rFonts w:ascii="Courier New" w:hAnsi="Courier New" w:cs="Courier New" w:hint="default"/>
      </w:rPr>
    </w:lvl>
    <w:lvl w:ilvl="2" w:tplc="04050005">
      <w:start w:val="1"/>
      <w:numFmt w:val="bullet"/>
      <w:lvlText w:val=""/>
      <w:lvlJc w:val="left"/>
      <w:pPr>
        <w:tabs>
          <w:tab w:val="num" w:pos="3780"/>
        </w:tabs>
        <w:ind w:left="3780" w:hanging="360"/>
      </w:pPr>
      <w:rPr>
        <w:rFonts w:ascii="Wingdings" w:hAnsi="Wingdings" w:hint="default"/>
      </w:rPr>
    </w:lvl>
    <w:lvl w:ilvl="3" w:tplc="04050001" w:tentative="1">
      <w:start w:val="1"/>
      <w:numFmt w:val="bullet"/>
      <w:lvlText w:val=""/>
      <w:lvlJc w:val="left"/>
      <w:pPr>
        <w:tabs>
          <w:tab w:val="num" w:pos="4500"/>
        </w:tabs>
        <w:ind w:left="4500" w:hanging="360"/>
      </w:pPr>
      <w:rPr>
        <w:rFonts w:ascii="Symbol" w:hAnsi="Symbol" w:hint="default"/>
      </w:rPr>
    </w:lvl>
    <w:lvl w:ilvl="4" w:tplc="04050003" w:tentative="1">
      <w:start w:val="1"/>
      <w:numFmt w:val="bullet"/>
      <w:lvlText w:val="o"/>
      <w:lvlJc w:val="left"/>
      <w:pPr>
        <w:tabs>
          <w:tab w:val="num" w:pos="5220"/>
        </w:tabs>
        <w:ind w:left="5220" w:hanging="360"/>
      </w:pPr>
      <w:rPr>
        <w:rFonts w:ascii="Courier New" w:hAnsi="Courier New" w:cs="Courier New" w:hint="default"/>
      </w:rPr>
    </w:lvl>
    <w:lvl w:ilvl="5" w:tplc="04050005" w:tentative="1">
      <w:start w:val="1"/>
      <w:numFmt w:val="bullet"/>
      <w:lvlText w:val=""/>
      <w:lvlJc w:val="left"/>
      <w:pPr>
        <w:tabs>
          <w:tab w:val="num" w:pos="5940"/>
        </w:tabs>
        <w:ind w:left="5940" w:hanging="360"/>
      </w:pPr>
      <w:rPr>
        <w:rFonts w:ascii="Wingdings" w:hAnsi="Wingdings" w:hint="default"/>
      </w:rPr>
    </w:lvl>
    <w:lvl w:ilvl="6" w:tplc="04050001" w:tentative="1">
      <w:start w:val="1"/>
      <w:numFmt w:val="bullet"/>
      <w:lvlText w:val=""/>
      <w:lvlJc w:val="left"/>
      <w:pPr>
        <w:tabs>
          <w:tab w:val="num" w:pos="6660"/>
        </w:tabs>
        <w:ind w:left="6660" w:hanging="360"/>
      </w:pPr>
      <w:rPr>
        <w:rFonts w:ascii="Symbol" w:hAnsi="Symbol" w:hint="default"/>
      </w:rPr>
    </w:lvl>
    <w:lvl w:ilvl="7" w:tplc="04050003" w:tentative="1">
      <w:start w:val="1"/>
      <w:numFmt w:val="bullet"/>
      <w:lvlText w:val="o"/>
      <w:lvlJc w:val="left"/>
      <w:pPr>
        <w:tabs>
          <w:tab w:val="num" w:pos="7380"/>
        </w:tabs>
        <w:ind w:left="7380" w:hanging="360"/>
      </w:pPr>
      <w:rPr>
        <w:rFonts w:ascii="Courier New" w:hAnsi="Courier New" w:cs="Courier New" w:hint="default"/>
      </w:rPr>
    </w:lvl>
    <w:lvl w:ilvl="8" w:tplc="04050005" w:tentative="1">
      <w:start w:val="1"/>
      <w:numFmt w:val="bullet"/>
      <w:lvlText w:val=""/>
      <w:lvlJc w:val="left"/>
      <w:pPr>
        <w:tabs>
          <w:tab w:val="num" w:pos="8100"/>
        </w:tabs>
        <w:ind w:left="8100" w:hanging="360"/>
      </w:pPr>
      <w:rPr>
        <w:rFonts w:ascii="Wingdings" w:hAnsi="Wingdings" w:hint="default"/>
      </w:rPr>
    </w:lvl>
  </w:abstractNum>
  <w:abstractNum w:abstractNumId="14" w15:restartNumberingAfterBreak="0">
    <w:nsid w:val="2982198F"/>
    <w:multiLevelType w:val="hybridMultilevel"/>
    <w:tmpl w:val="E564F38C"/>
    <w:lvl w:ilvl="0" w:tplc="A6E4E8C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3847B0"/>
    <w:multiLevelType w:val="hybridMultilevel"/>
    <w:tmpl w:val="37C84B50"/>
    <w:lvl w:ilvl="0" w:tplc="04050001">
      <w:start w:val="1"/>
      <w:numFmt w:val="bullet"/>
      <w:lvlText w:val=""/>
      <w:lvlJc w:val="left"/>
      <w:pPr>
        <w:tabs>
          <w:tab w:val="num" w:pos="750"/>
        </w:tabs>
        <w:ind w:left="750" w:hanging="360"/>
      </w:pPr>
      <w:rPr>
        <w:rFonts w:ascii="Symbol" w:hAnsi="Symbol" w:hint="default"/>
      </w:rPr>
    </w:lvl>
    <w:lvl w:ilvl="1" w:tplc="CEC6FDCA">
      <w:start w:val="4"/>
      <w:numFmt w:val="decimal"/>
      <w:lvlText w:val="%2."/>
      <w:lvlJc w:val="left"/>
      <w:pPr>
        <w:tabs>
          <w:tab w:val="num" w:pos="1500"/>
        </w:tabs>
        <w:ind w:left="1500" w:hanging="390"/>
      </w:pPr>
      <w:rPr>
        <w:rFonts w:hint="default"/>
      </w:rPr>
    </w:lvl>
    <w:lvl w:ilvl="2" w:tplc="04050005" w:tentative="1">
      <w:start w:val="1"/>
      <w:numFmt w:val="bullet"/>
      <w:lvlText w:val=""/>
      <w:lvlJc w:val="left"/>
      <w:pPr>
        <w:tabs>
          <w:tab w:val="num" w:pos="2190"/>
        </w:tabs>
        <w:ind w:left="2190" w:hanging="360"/>
      </w:pPr>
      <w:rPr>
        <w:rFonts w:ascii="Wingdings" w:hAnsi="Wingdings" w:hint="default"/>
      </w:rPr>
    </w:lvl>
    <w:lvl w:ilvl="3" w:tplc="04050001" w:tentative="1">
      <w:start w:val="1"/>
      <w:numFmt w:val="bullet"/>
      <w:lvlText w:val=""/>
      <w:lvlJc w:val="left"/>
      <w:pPr>
        <w:tabs>
          <w:tab w:val="num" w:pos="2910"/>
        </w:tabs>
        <w:ind w:left="2910" w:hanging="360"/>
      </w:pPr>
      <w:rPr>
        <w:rFonts w:ascii="Symbol" w:hAnsi="Symbol" w:hint="default"/>
      </w:rPr>
    </w:lvl>
    <w:lvl w:ilvl="4" w:tplc="04050003" w:tentative="1">
      <w:start w:val="1"/>
      <w:numFmt w:val="bullet"/>
      <w:lvlText w:val="o"/>
      <w:lvlJc w:val="left"/>
      <w:pPr>
        <w:tabs>
          <w:tab w:val="num" w:pos="3630"/>
        </w:tabs>
        <w:ind w:left="3630" w:hanging="360"/>
      </w:pPr>
      <w:rPr>
        <w:rFonts w:ascii="Courier New" w:hAnsi="Courier New" w:cs="Courier New" w:hint="default"/>
      </w:rPr>
    </w:lvl>
    <w:lvl w:ilvl="5" w:tplc="04050005" w:tentative="1">
      <w:start w:val="1"/>
      <w:numFmt w:val="bullet"/>
      <w:lvlText w:val=""/>
      <w:lvlJc w:val="left"/>
      <w:pPr>
        <w:tabs>
          <w:tab w:val="num" w:pos="4350"/>
        </w:tabs>
        <w:ind w:left="4350" w:hanging="360"/>
      </w:pPr>
      <w:rPr>
        <w:rFonts w:ascii="Wingdings" w:hAnsi="Wingdings" w:hint="default"/>
      </w:rPr>
    </w:lvl>
    <w:lvl w:ilvl="6" w:tplc="04050001" w:tentative="1">
      <w:start w:val="1"/>
      <w:numFmt w:val="bullet"/>
      <w:lvlText w:val=""/>
      <w:lvlJc w:val="left"/>
      <w:pPr>
        <w:tabs>
          <w:tab w:val="num" w:pos="5070"/>
        </w:tabs>
        <w:ind w:left="5070" w:hanging="360"/>
      </w:pPr>
      <w:rPr>
        <w:rFonts w:ascii="Symbol" w:hAnsi="Symbol" w:hint="default"/>
      </w:rPr>
    </w:lvl>
    <w:lvl w:ilvl="7" w:tplc="04050003" w:tentative="1">
      <w:start w:val="1"/>
      <w:numFmt w:val="bullet"/>
      <w:lvlText w:val="o"/>
      <w:lvlJc w:val="left"/>
      <w:pPr>
        <w:tabs>
          <w:tab w:val="num" w:pos="5790"/>
        </w:tabs>
        <w:ind w:left="5790" w:hanging="360"/>
      </w:pPr>
      <w:rPr>
        <w:rFonts w:ascii="Courier New" w:hAnsi="Courier New" w:cs="Courier New" w:hint="default"/>
      </w:rPr>
    </w:lvl>
    <w:lvl w:ilvl="8" w:tplc="04050005" w:tentative="1">
      <w:start w:val="1"/>
      <w:numFmt w:val="bullet"/>
      <w:lvlText w:val=""/>
      <w:lvlJc w:val="left"/>
      <w:pPr>
        <w:tabs>
          <w:tab w:val="num" w:pos="6510"/>
        </w:tabs>
        <w:ind w:left="6510" w:hanging="360"/>
      </w:pPr>
      <w:rPr>
        <w:rFonts w:ascii="Wingdings" w:hAnsi="Wingdings" w:hint="default"/>
      </w:rPr>
    </w:lvl>
  </w:abstractNum>
  <w:abstractNum w:abstractNumId="16" w15:restartNumberingAfterBreak="0">
    <w:nsid w:val="2ED14513"/>
    <w:multiLevelType w:val="hybridMultilevel"/>
    <w:tmpl w:val="6980F306"/>
    <w:lvl w:ilvl="0" w:tplc="84B21F1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04B7568"/>
    <w:multiLevelType w:val="singleLevel"/>
    <w:tmpl w:val="CEC6FDCA"/>
    <w:lvl w:ilvl="0">
      <w:start w:val="4"/>
      <w:numFmt w:val="decimal"/>
      <w:lvlText w:val="%1."/>
      <w:lvlJc w:val="left"/>
      <w:pPr>
        <w:tabs>
          <w:tab w:val="num" w:pos="390"/>
        </w:tabs>
        <w:ind w:left="390" w:hanging="390"/>
      </w:pPr>
      <w:rPr>
        <w:rFonts w:hint="default"/>
      </w:rPr>
    </w:lvl>
  </w:abstractNum>
  <w:abstractNum w:abstractNumId="18" w15:restartNumberingAfterBreak="0">
    <w:nsid w:val="321F7F96"/>
    <w:multiLevelType w:val="hybridMultilevel"/>
    <w:tmpl w:val="F32C81B6"/>
    <w:lvl w:ilvl="0" w:tplc="84B21F1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33DC2FC3"/>
    <w:multiLevelType w:val="hybridMultilevel"/>
    <w:tmpl w:val="0C7418C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362E3A1F"/>
    <w:multiLevelType w:val="multilevel"/>
    <w:tmpl w:val="E1DAFA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DE24F6"/>
    <w:multiLevelType w:val="hybridMultilevel"/>
    <w:tmpl w:val="3A08981E"/>
    <w:lvl w:ilvl="0" w:tplc="84B21F1C">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3C3A4092"/>
    <w:multiLevelType w:val="hybridMultilevel"/>
    <w:tmpl w:val="D70EB0EC"/>
    <w:lvl w:ilvl="0" w:tplc="20C23654">
      <w:start w:val="1"/>
      <w:numFmt w:val="ordinal"/>
      <w:lvlText w:val="1.%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1C18B6"/>
    <w:multiLevelType w:val="hybridMultilevel"/>
    <w:tmpl w:val="DA32431A"/>
    <w:lvl w:ilvl="0" w:tplc="0405000F">
      <w:start w:val="1"/>
      <w:numFmt w:val="decimal"/>
      <w:lvlText w:val="%1."/>
      <w:lvlJc w:val="left"/>
      <w:pPr>
        <w:tabs>
          <w:tab w:val="num" w:pos="720"/>
        </w:tabs>
        <w:ind w:left="720" w:hanging="360"/>
      </w:pPr>
    </w:lvl>
    <w:lvl w:ilvl="1" w:tplc="D83E6BD2">
      <w:start w:val="1"/>
      <w:numFmt w:val="lowerLetter"/>
      <w:pStyle w:val="odra"/>
      <w:lvlText w:val="%2)"/>
      <w:lvlJc w:val="left"/>
      <w:pPr>
        <w:tabs>
          <w:tab w:val="num" w:pos="1174"/>
        </w:tabs>
        <w:ind w:left="1174" w:hanging="454"/>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494A5E00"/>
    <w:multiLevelType w:val="hybridMultilevel"/>
    <w:tmpl w:val="BAFE1420"/>
    <w:lvl w:ilvl="0" w:tplc="0405000F">
      <w:start w:val="1"/>
      <w:numFmt w:val="decimal"/>
      <w:lvlText w:val="%1."/>
      <w:lvlJc w:val="left"/>
      <w:pPr>
        <w:ind w:left="1083" w:hanging="360"/>
      </w:p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25" w15:restartNumberingAfterBreak="0">
    <w:nsid w:val="49D94B3B"/>
    <w:multiLevelType w:val="hybridMultilevel"/>
    <w:tmpl w:val="49F82BE4"/>
    <w:lvl w:ilvl="0" w:tplc="72942D82">
      <w:start w:val="1"/>
      <w:numFmt w:val="ordinal"/>
      <w:lvlText w:val="4.%1"/>
      <w:lvlJc w:val="left"/>
      <w:pPr>
        <w:ind w:left="1145" w:hanging="360"/>
      </w:pPr>
      <w:rPr>
        <w:rFonts w:hint="default"/>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15:restartNumberingAfterBreak="0">
    <w:nsid w:val="4CFD4107"/>
    <w:multiLevelType w:val="hybridMultilevel"/>
    <w:tmpl w:val="D0C23886"/>
    <w:lvl w:ilvl="0" w:tplc="B66038E4">
      <w:start w:val="1"/>
      <w:numFmt w:val="decimal"/>
      <w:lvlText w:val="%1."/>
      <w:lvlJc w:val="left"/>
      <w:pPr>
        <w:ind w:left="760" w:hanging="4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B4392D"/>
    <w:multiLevelType w:val="singleLevel"/>
    <w:tmpl w:val="E8242B96"/>
    <w:lvl w:ilvl="0">
      <w:start w:val="1"/>
      <w:numFmt w:val="upperLetter"/>
      <w:lvlText w:val="(%1)"/>
      <w:lvlJc w:val="left"/>
      <w:pPr>
        <w:tabs>
          <w:tab w:val="num" w:pos="709"/>
        </w:tabs>
        <w:ind w:left="709" w:hanging="709"/>
      </w:pPr>
    </w:lvl>
  </w:abstractNum>
  <w:abstractNum w:abstractNumId="28" w15:restartNumberingAfterBreak="0">
    <w:nsid w:val="52E61560"/>
    <w:multiLevelType w:val="hybridMultilevel"/>
    <w:tmpl w:val="7F58F2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F83101"/>
    <w:multiLevelType w:val="hybridMultilevel"/>
    <w:tmpl w:val="76622F8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0026D13"/>
    <w:multiLevelType w:val="hybridMultilevel"/>
    <w:tmpl w:val="10FAA908"/>
    <w:lvl w:ilvl="0" w:tplc="6FF4763A">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021809"/>
    <w:multiLevelType w:val="hybridMultilevel"/>
    <w:tmpl w:val="E920288E"/>
    <w:lvl w:ilvl="0" w:tplc="0CF6B6D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5E32E9"/>
    <w:multiLevelType w:val="hybridMultilevel"/>
    <w:tmpl w:val="C750BAA0"/>
    <w:lvl w:ilvl="0" w:tplc="04050015">
      <w:start w:val="1"/>
      <w:numFmt w:val="upp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15524F1"/>
    <w:multiLevelType w:val="hybridMultilevel"/>
    <w:tmpl w:val="24DA04BA"/>
    <w:lvl w:ilvl="0" w:tplc="046E6222">
      <w:start w:val="1"/>
      <w:numFmt w:val="ordinal"/>
      <w:lvlText w:val="11.%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C9512D"/>
    <w:multiLevelType w:val="hybridMultilevel"/>
    <w:tmpl w:val="C8389F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5D7A2F"/>
    <w:multiLevelType w:val="hybridMultilevel"/>
    <w:tmpl w:val="590469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FD759A"/>
    <w:multiLevelType w:val="hybridMultilevel"/>
    <w:tmpl w:val="E230D818"/>
    <w:lvl w:ilvl="0" w:tplc="3BC07DB4">
      <w:start w:val="1"/>
      <w:numFmt w:val="decimal"/>
      <w:lvlText w:val="%1."/>
      <w:lvlJc w:val="left"/>
      <w:pPr>
        <w:ind w:left="760" w:hanging="4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FD30ED"/>
    <w:multiLevelType w:val="hybridMultilevel"/>
    <w:tmpl w:val="4B58DE3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E4792E"/>
    <w:multiLevelType w:val="hybridMultilevel"/>
    <w:tmpl w:val="590469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3"/>
  </w:num>
  <w:num w:numId="3">
    <w:abstractNumId w:val="17"/>
  </w:num>
  <w:num w:numId="4">
    <w:abstractNumId w:val="15"/>
  </w:num>
  <w:num w:numId="5">
    <w:abstractNumId w:val="13"/>
  </w:num>
  <w:num w:numId="6">
    <w:abstractNumId w:val="6"/>
  </w:num>
  <w:num w:numId="7">
    <w:abstractNumId w:val="32"/>
  </w:num>
  <w:num w:numId="8">
    <w:abstractNumId w:val="28"/>
  </w:num>
  <w:num w:numId="9">
    <w:abstractNumId w:val="29"/>
  </w:num>
  <w:num w:numId="10">
    <w:abstractNumId w:val="37"/>
  </w:num>
  <w:num w:numId="11">
    <w:abstractNumId w:val="0"/>
  </w:num>
  <w:num w:numId="12">
    <w:abstractNumId w:val="3"/>
  </w:num>
  <w:num w:numId="13">
    <w:abstractNumId w:val="24"/>
  </w:num>
  <w:num w:numId="14">
    <w:abstractNumId w:val="22"/>
  </w:num>
  <w:num w:numId="15">
    <w:abstractNumId w:val="30"/>
  </w:num>
  <w:num w:numId="16">
    <w:abstractNumId w:val="34"/>
  </w:num>
  <w:num w:numId="17">
    <w:abstractNumId w:val="27"/>
  </w:num>
  <w:num w:numId="18">
    <w:abstractNumId w:val="31"/>
  </w:num>
  <w:num w:numId="19">
    <w:abstractNumId w:val="25"/>
  </w:num>
  <w:num w:numId="20">
    <w:abstractNumId w:val="2"/>
  </w:num>
  <w:num w:numId="21">
    <w:abstractNumId w:val="8"/>
  </w:num>
  <w:num w:numId="22">
    <w:abstractNumId w:val="1"/>
  </w:num>
  <w:num w:numId="23">
    <w:abstractNumId w:val="33"/>
  </w:num>
  <w:num w:numId="24">
    <w:abstractNumId w:val="14"/>
  </w:num>
  <w:num w:numId="25">
    <w:abstractNumId w:val="11"/>
  </w:num>
  <w:num w:numId="26">
    <w:abstractNumId w:val="4"/>
  </w:num>
  <w:num w:numId="27">
    <w:abstractNumId w:val="7"/>
  </w:num>
  <w:num w:numId="28">
    <w:abstractNumId w:val="21"/>
  </w:num>
  <w:num w:numId="29">
    <w:abstractNumId w:val="16"/>
  </w:num>
  <w:num w:numId="30">
    <w:abstractNumId w:val="5"/>
  </w:num>
  <w:num w:numId="31">
    <w:abstractNumId w:val="10"/>
  </w:num>
  <w:num w:numId="32">
    <w:abstractNumId w:val="26"/>
  </w:num>
  <w:num w:numId="33">
    <w:abstractNumId w:val="36"/>
  </w:num>
  <w:num w:numId="34">
    <w:abstractNumId w:val="19"/>
  </w:num>
  <w:num w:numId="35">
    <w:abstractNumId w:val="12"/>
  </w:num>
  <w:num w:numId="36">
    <w:abstractNumId w:val="18"/>
  </w:num>
  <w:num w:numId="37">
    <w:abstractNumId w:val="38"/>
  </w:num>
  <w:num w:numId="38">
    <w:abstractNumId w:val="3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14"/>
    <w:rsid w:val="000041B8"/>
    <w:rsid w:val="00005C6D"/>
    <w:rsid w:val="000064CF"/>
    <w:rsid w:val="000076BF"/>
    <w:rsid w:val="00010400"/>
    <w:rsid w:val="00010671"/>
    <w:rsid w:val="00010B7C"/>
    <w:rsid w:val="0001210E"/>
    <w:rsid w:val="00013190"/>
    <w:rsid w:val="000136F5"/>
    <w:rsid w:val="00013E74"/>
    <w:rsid w:val="0001439C"/>
    <w:rsid w:val="00014D28"/>
    <w:rsid w:val="00016DC1"/>
    <w:rsid w:val="000200C6"/>
    <w:rsid w:val="00020967"/>
    <w:rsid w:val="00021A1D"/>
    <w:rsid w:val="00022CB8"/>
    <w:rsid w:val="00023576"/>
    <w:rsid w:val="0002378E"/>
    <w:rsid w:val="00024D18"/>
    <w:rsid w:val="00024F82"/>
    <w:rsid w:val="00026102"/>
    <w:rsid w:val="000268F1"/>
    <w:rsid w:val="000272A3"/>
    <w:rsid w:val="00027487"/>
    <w:rsid w:val="00027A7F"/>
    <w:rsid w:val="00027CD1"/>
    <w:rsid w:val="00027E94"/>
    <w:rsid w:val="0003061E"/>
    <w:rsid w:val="00032019"/>
    <w:rsid w:val="00032C60"/>
    <w:rsid w:val="00033C24"/>
    <w:rsid w:val="000343E2"/>
    <w:rsid w:val="000346C4"/>
    <w:rsid w:val="0003563B"/>
    <w:rsid w:val="000358F8"/>
    <w:rsid w:val="0003593E"/>
    <w:rsid w:val="00036EC7"/>
    <w:rsid w:val="0003728F"/>
    <w:rsid w:val="000375E9"/>
    <w:rsid w:val="00037A12"/>
    <w:rsid w:val="000408F6"/>
    <w:rsid w:val="00040920"/>
    <w:rsid w:val="000425DA"/>
    <w:rsid w:val="000436FA"/>
    <w:rsid w:val="00043D5E"/>
    <w:rsid w:val="0004455E"/>
    <w:rsid w:val="00044FF9"/>
    <w:rsid w:val="000468E4"/>
    <w:rsid w:val="00046A0C"/>
    <w:rsid w:val="00047750"/>
    <w:rsid w:val="00050197"/>
    <w:rsid w:val="000507DD"/>
    <w:rsid w:val="00050E18"/>
    <w:rsid w:val="0005106F"/>
    <w:rsid w:val="0005116A"/>
    <w:rsid w:val="00051609"/>
    <w:rsid w:val="0005242D"/>
    <w:rsid w:val="00053F28"/>
    <w:rsid w:val="000555A9"/>
    <w:rsid w:val="00055F8F"/>
    <w:rsid w:val="00055FC4"/>
    <w:rsid w:val="000564A2"/>
    <w:rsid w:val="00056790"/>
    <w:rsid w:val="00056EF9"/>
    <w:rsid w:val="00057098"/>
    <w:rsid w:val="000610A9"/>
    <w:rsid w:val="000620E2"/>
    <w:rsid w:val="00062A2B"/>
    <w:rsid w:val="000630D2"/>
    <w:rsid w:val="0006480A"/>
    <w:rsid w:val="00066820"/>
    <w:rsid w:val="00067EC2"/>
    <w:rsid w:val="00070120"/>
    <w:rsid w:val="00071C03"/>
    <w:rsid w:val="000737B9"/>
    <w:rsid w:val="00073983"/>
    <w:rsid w:val="00073EE3"/>
    <w:rsid w:val="000740F8"/>
    <w:rsid w:val="00074588"/>
    <w:rsid w:val="00075186"/>
    <w:rsid w:val="00075671"/>
    <w:rsid w:val="0007569B"/>
    <w:rsid w:val="00076349"/>
    <w:rsid w:val="00077B72"/>
    <w:rsid w:val="000808BE"/>
    <w:rsid w:val="00082220"/>
    <w:rsid w:val="000856E0"/>
    <w:rsid w:val="0008581D"/>
    <w:rsid w:val="0008701B"/>
    <w:rsid w:val="00090852"/>
    <w:rsid w:val="000908CB"/>
    <w:rsid w:val="00090910"/>
    <w:rsid w:val="00090E53"/>
    <w:rsid w:val="00090E86"/>
    <w:rsid w:val="00091688"/>
    <w:rsid w:val="00093B16"/>
    <w:rsid w:val="00095137"/>
    <w:rsid w:val="00097213"/>
    <w:rsid w:val="000A0109"/>
    <w:rsid w:val="000A1723"/>
    <w:rsid w:val="000A1AC3"/>
    <w:rsid w:val="000A1F35"/>
    <w:rsid w:val="000A5828"/>
    <w:rsid w:val="000A7998"/>
    <w:rsid w:val="000B0550"/>
    <w:rsid w:val="000B10CC"/>
    <w:rsid w:val="000B1462"/>
    <w:rsid w:val="000B1986"/>
    <w:rsid w:val="000B1D8E"/>
    <w:rsid w:val="000B3105"/>
    <w:rsid w:val="000B45BB"/>
    <w:rsid w:val="000B4C30"/>
    <w:rsid w:val="000B6C8C"/>
    <w:rsid w:val="000B6E7F"/>
    <w:rsid w:val="000C38CB"/>
    <w:rsid w:val="000C3E80"/>
    <w:rsid w:val="000C40CF"/>
    <w:rsid w:val="000C6882"/>
    <w:rsid w:val="000C6D84"/>
    <w:rsid w:val="000D09FE"/>
    <w:rsid w:val="000D1D20"/>
    <w:rsid w:val="000D3002"/>
    <w:rsid w:val="000D437E"/>
    <w:rsid w:val="000D5689"/>
    <w:rsid w:val="000D5A23"/>
    <w:rsid w:val="000D5AD2"/>
    <w:rsid w:val="000D5CE0"/>
    <w:rsid w:val="000D5D5B"/>
    <w:rsid w:val="000D5E85"/>
    <w:rsid w:val="000D5E96"/>
    <w:rsid w:val="000D693D"/>
    <w:rsid w:val="000D7A5C"/>
    <w:rsid w:val="000E1D4C"/>
    <w:rsid w:val="000E222B"/>
    <w:rsid w:val="000E2EDD"/>
    <w:rsid w:val="000E3D3C"/>
    <w:rsid w:val="000E3E37"/>
    <w:rsid w:val="000E513F"/>
    <w:rsid w:val="000E5CE6"/>
    <w:rsid w:val="000E6AF7"/>
    <w:rsid w:val="000E6D9D"/>
    <w:rsid w:val="000E7AFC"/>
    <w:rsid w:val="000F031F"/>
    <w:rsid w:val="000F26F7"/>
    <w:rsid w:val="000F2FB7"/>
    <w:rsid w:val="000F51B5"/>
    <w:rsid w:val="000F69BE"/>
    <w:rsid w:val="001002AC"/>
    <w:rsid w:val="0010047B"/>
    <w:rsid w:val="00100868"/>
    <w:rsid w:val="00100C4C"/>
    <w:rsid w:val="001013A3"/>
    <w:rsid w:val="00101718"/>
    <w:rsid w:val="00101942"/>
    <w:rsid w:val="0010203E"/>
    <w:rsid w:val="001022E0"/>
    <w:rsid w:val="00102FF0"/>
    <w:rsid w:val="00103336"/>
    <w:rsid w:val="00103A3D"/>
    <w:rsid w:val="001044C4"/>
    <w:rsid w:val="001055FD"/>
    <w:rsid w:val="00106B72"/>
    <w:rsid w:val="001071CC"/>
    <w:rsid w:val="00107CB6"/>
    <w:rsid w:val="0011271B"/>
    <w:rsid w:val="00113116"/>
    <w:rsid w:val="00113C47"/>
    <w:rsid w:val="001142F0"/>
    <w:rsid w:val="00115F0D"/>
    <w:rsid w:val="001160D6"/>
    <w:rsid w:val="001162F4"/>
    <w:rsid w:val="00116DCD"/>
    <w:rsid w:val="001179C3"/>
    <w:rsid w:val="00121CCE"/>
    <w:rsid w:val="00121FEC"/>
    <w:rsid w:val="001227C8"/>
    <w:rsid w:val="0012315C"/>
    <w:rsid w:val="001232E6"/>
    <w:rsid w:val="0012458D"/>
    <w:rsid w:val="0012492F"/>
    <w:rsid w:val="001254CF"/>
    <w:rsid w:val="00125708"/>
    <w:rsid w:val="00125BE6"/>
    <w:rsid w:val="00125D36"/>
    <w:rsid w:val="00126398"/>
    <w:rsid w:val="001274B1"/>
    <w:rsid w:val="00130C84"/>
    <w:rsid w:val="00130E49"/>
    <w:rsid w:val="00131CF2"/>
    <w:rsid w:val="00133824"/>
    <w:rsid w:val="00136495"/>
    <w:rsid w:val="001367A9"/>
    <w:rsid w:val="001374D0"/>
    <w:rsid w:val="001405F4"/>
    <w:rsid w:val="00141263"/>
    <w:rsid w:val="0014131E"/>
    <w:rsid w:val="001416D1"/>
    <w:rsid w:val="0014179B"/>
    <w:rsid w:val="0014299E"/>
    <w:rsid w:val="00143171"/>
    <w:rsid w:val="00143B62"/>
    <w:rsid w:val="00144DAF"/>
    <w:rsid w:val="00145BB4"/>
    <w:rsid w:val="001466B9"/>
    <w:rsid w:val="00146DD3"/>
    <w:rsid w:val="0014746D"/>
    <w:rsid w:val="00147CE3"/>
    <w:rsid w:val="001503A9"/>
    <w:rsid w:val="00150FCC"/>
    <w:rsid w:val="00154A36"/>
    <w:rsid w:val="00156558"/>
    <w:rsid w:val="00157250"/>
    <w:rsid w:val="001617D8"/>
    <w:rsid w:val="001635CE"/>
    <w:rsid w:val="00163670"/>
    <w:rsid w:val="00163DD8"/>
    <w:rsid w:val="00166292"/>
    <w:rsid w:val="00166CAF"/>
    <w:rsid w:val="00166F11"/>
    <w:rsid w:val="00170C03"/>
    <w:rsid w:val="00171262"/>
    <w:rsid w:val="00171C6E"/>
    <w:rsid w:val="0017272A"/>
    <w:rsid w:val="001729CF"/>
    <w:rsid w:val="00175657"/>
    <w:rsid w:val="0017647D"/>
    <w:rsid w:val="00176DDD"/>
    <w:rsid w:val="00176F7A"/>
    <w:rsid w:val="00176FD6"/>
    <w:rsid w:val="00177464"/>
    <w:rsid w:val="00177D1E"/>
    <w:rsid w:val="001802E2"/>
    <w:rsid w:val="00180470"/>
    <w:rsid w:val="0018150C"/>
    <w:rsid w:val="001817BE"/>
    <w:rsid w:val="00182A29"/>
    <w:rsid w:val="00183ABF"/>
    <w:rsid w:val="00184566"/>
    <w:rsid w:val="00185EBC"/>
    <w:rsid w:val="001862A6"/>
    <w:rsid w:val="00186A53"/>
    <w:rsid w:val="00187740"/>
    <w:rsid w:val="00187C32"/>
    <w:rsid w:val="00190013"/>
    <w:rsid w:val="0019125A"/>
    <w:rsid w:val="00191F88"/>
    <w:rsid w:val="001921C1"/>
    <w:rsid w:val="001928C0"/>
    <w:rsid w:val="00192951"/>
    <w:rsid w:val="00193142"/>
    <w:rsid w:val="00193B60"/>
    <w:rsid w:val="001948A2"/>
    <w:rsid w:val="00194FA7"/>
    <w:rsid w:val="001963F1"/>
    <w:rsid w:val="0019795F"/>
    <w:rsid w:val="00197B5F"/>
    <w:rsid w:val="001A0449"/>
    <w:rsid w:val="001A1B97"/>
    <w:rsid w:val="001A1BBA"/>
    <w:rsid w:val="001A1D1B"/>
    <w:rsid w:val="001A2BA3"/>
    <w:rsid w:val="001A4371"/>
    <w:rsid w:val="001A43A8"/>
    <w:rsid w:val="001A597D"/>
    <w:rsid w:val="001A7F8B"/>
    <w:rsid w:val="001B0B2F"/>
    <w:rsid w:val="001B0C84"/>
    <w:rsid w:val="001B0EBD"/>
    <w:rsid w:val="001B26F7"/>
    <w:rsid w:val="001B2914"/>
    <w:rsid w:val="001B3DC5"/>
    <w:rsid w:val="001B3E7F"/>
    <w:rsid w:val="001B4A9F"/>
    <w:rsid w:val="001B5269"/>
    <w:rsid w:val="001B6756"/>
    <w:rsid w:val="001B693E"/>
    <w:rsid w:val="001B6B80"/>
    <w:rsid w:val="001C0A34"/>
    <w:rsid w:val="001C2AE6"/>
    <w:rsid w:val="001C2D45"/>
    <w:rsid w:val="001C31A5"/>
    <w:rsid w:val="001C3812"/>
    <w:rsid w:val="001C5C99"/>
    <w:rsid w:val="001C60C1"/>
    <w:rsid w:val="001C7B22"/>
    <w:rsid w:val="001D28A5"/>
    <w:rsid w:val="001D414D"/>
    <w:rsid w:val="001D45DB"/>
    <w:rsid w:val="001D4697"/>
    <w:rsid w:val="001D493B"/>
    <w:rsid w:val="001D500E"/>
    <w:rsid w:val="001D7A6E"/>
    <w:rsid w:val="001D7C92"/>
    <w:rsid w:val="001E043A"/>
    <w:rsid w:val="001E1F4A"/>
    <w:rsid w:val="001E22C8"/>
    <w:rsid w:val="001E28F6"/>
    <w:rsid w:val="001E39FD"/>
    <w:rsid w:val="001E43FF"/>
    <w:rsid w:val="001E4B4D"/>
    <w:rsid w:val="001E4DE6"/>
    <w:rsid w:val="001E4EC2"/>
    <w:rsid w:val="001E53D2"/>
    <w:rsid w:val="001E7D43"/>
    <w:rsid w:val="001F0063"/>
    <w:rsid w:val="001F0D9C"/>
    <w:rsid w:val="001F17CA"/>
    <w:rsid w:val="001F271B"/>
    <w:rsid w:val="001F34C4"/>
    <w:rsid w:val="001F457D"/>
    <w:rsid w:val="001F52BC"/>
    <w:rsid w:val="001F542C"/>
    <w:rsid w:val="001F5B65"/>
    <w:rsid w:val="001F6D84"/>
    <w:rsid w:val="00200033"/>
    <w:rsid w:val="00200666"/>
    <w:rsid w:val="00200AB7"/>
    <w:rsid w:val="00200EF0"/>
    <w:rsid w:val="00201A06"/>
    <w:rsid w:val="00202953"/>
    <w:rsid w:val="002036F5"/>
    <w:rsid w:val="00204BFB"/>
    <w:rsid w:val="00204E56"/>
    <w:rsid w:val="00204FBD"/>
    <w:rsid w:val="002050E3"/>
    <w:rsid w:val="00206276"/>
    <w:rsid w:val="00206782"/>
    <w:rsid w:val="002072DB"/>
    <w:rsid w:val="00207ADB"/>
    <w:rsid w:val="0021284F"/>
    <w:rsid w:val="00212CD9"/>
    <w:rsid w:val="00212EE9"/>
    <w:rsid w:val="002156C1"/>
    <w:rsid w:val="002201B6"/>
    <w:rsid w:val="00220C62"/>
    <w:rsid w:val="00221559"/>
    <w:rsid w:val="0022170C"/>
    <w:rsid w:val="00222CA4"/>
    <w:rsid w:val="00224067"/>
    <w:rsid w:val="00224949"/>
    <w:rsid w:val="00225583"/>
    <w:rsid w:val="00225851"/>
    <w:rsid w:val="0022609E"/>
    <w:rsid w:val="0022718D"/>
    <w:rsid w:val="002271B3"/>
    <w:rsid w:val="00227B59"/>
    <w:rsid w:val="00227E29"/>
    <w:rsid w:val="00231495"/>
    <w:rsid w:val="00231C80"/>
    <w:rsid w:val="00232F1C"/>
    <w:rsid w:val="00234248"/>
    <w:rsid w:val="00234563"/>
    <w:rsid w:val="002348B1"/>
    <w:rsid w:val="00237466"/>
    <w:rsid w:val="002377E0"/>
    <w:rsid w:val="00240D74"/>
    <w:rsid w:val="002414C3"/>
    <w:rsid w:val="002424AF"/>
    <w:rsid w:val="0024316A"/>
    <w:rsid w:val="002447D2"/>
    <w:rsid w:val="00245CDF"/>
    <w:rsid w:val="002462F5"/>
    <w:rsid w:val="002469F4"/>
    <w:rsid w:val="002469FF"/>
    <w:rsid w:val="00247824"/>
    <w:rsid w:val="002508C3"/>
    <w:rsid w:val="00251C2E"/>
    <w:rsid w:val="002520E1"/>
    <w:rsid w:val="0025335C"/>
    <w:rsid w:val="00253EC5"/>
    <w:rsid w:val="002540B3"/>
    <w:rsid w:val="00255E74"/>
    <w:rsid w:val="00256431"/>
    <w:rsid w:val="00256E0A"/>
    <w:rsid w:val="00256FC1"/>
    <w:rsid w:val="002573D5"/>
    <w:rsid w:val="002575E0"/>
    <w:rsid w:val="00261D61"/>
    <w:rsid w:val="00262B8A"/>
    <w:rsid w:val="002631B9"/>
    <w:rsid w:val="0026455F"/>
    <w:rsid w:val="00266790"/>
    <w:rsid w:val="002703DF"/>
    <w:rsid w:val="00270BB7"/>
    <w:rsid w:val="00270DA1"/>
    <w:rsid w:val="00272239"/>
    <w:rsid w:val="0027370A"/>
    <w:rsid w:val="00274014"/>
    <w:rsid w:val="002741B7"/>
    <w:rsid w:val="00274632"/>
    <w:rsid w:val="00274BBE"/>
    <w:rsid w:val="00274CC7"/>
    <w:rsid w:val="0027583C"/>
    <w:rsid w:val="0027631C"/>
    <w:rsid w:val="0027742C"/>
    <w:rsid w:val="0028117D"/>
    <w:rsid w:val="00281BFC"/>
    <w:rsid w:val="00281EB7"/>
    <w:rsid w:val="00283093"/>
    <w:rsid w:val="0028379F"/>
    <w:rsid w:val="00283A3F"/>
    <w:rsid w:val="00284689"/>
    <w:rsid w:val="002847F4"/>
    <w:rsid w:val="0028497A"/>
    <w:rsid w:val="00284DF9"/>
    <w:rsid w:val="0028521B"/>
    <w:rsid w:val="002872BA"/>
    <w:rsid w:val="00287FE0"/>
    <w:rsid w:val="002902EC"/>
    <w:rsid w:val="00291382"/>
    <w:rsid w:val="002935B1"/>
    <w:rsid w:val="00294BD3"/>
    <w:rsid w:val="00294EDA"/>
    <w:rsid w:val="00296022"/>
    <w:rsid w:val="002965E2"/>
    <w:rsid w:val="00296AB1"/>
    <w:rsid w:val="00297665"/>
    <w:rsid w:val="002A0968"/>
    <w:rsid w:val="002A17D7"/>
    <w:rsid w:val="002A1D7E"/>
    <w:rsid w:val="002A238F"/>
    <w:rsid w:val="002A28FC"/>
    <w:rsid w:val="002A7C7B"/>
    <w:rsid w:val="002B022A"/>
    <w:rsid w:val="002B18CD"/>
    <w:rsid w:val="002B3653"/>
    <w:rsid w:val="002B5875"/>
    <w:rsid w:val="002B5EA2"/>
    <w:rsid w:val="002C0662"/>
    <w:rsid w:val="002C14BE"/>
    <w:rsid w:val="002C1C65"/>
    <w:rsid w:val="002C2C73"/>
    <w:rsid w:val="002C3ADA"/>
    <w:rsid w:val="002C6B07"/>
    <w:rsid w:val="002D162E"/>
    <w:rsid w:val="002D18BC"/>
    <w:rsid w:val="002D481F"/>
    <w:rsid w:val="002D4B45"/>
    <w:rsid w:val="002D4C8F"/>
    <w:rsid w:val="002D75DF"/>
    <w:rsid w:val="002D7820"/>
    <w:rsid w:val="002D7F3D"/>
    <w:rsid w:val="002E124B"/>
    <w:rsid w:val="002E15D2"/>
    <w:rsid w:val="002E1F10"/>
    <w:rsid w:val="002E364E"/>
    <w:rsid w:val="002E3AC3"/>
    <w:rsid w:val="002E48CD"/>
    <w:rsid w:val="002E4C86"/>
    <w:rsid w:val="002E4CE7"/>
    <w:rsid w:val="002E5DA6"/>
    <w:rsid w:val="002E5DE5"/>
    <w:rsid w:val="002E627E"/>
    <w:rsid w:val="002E63FC"/>
    <w:rsid w:val="002E6FBB"/>
    <w:rsid w:val="002F029A"/>
    <w:rsid w:val="002F077E"/>
    <w:rsid w:val="002F0906"/>
    <w:rsid w:val="002F2767"/>
    <w:rsid w:val="002F2BEF"/>
    <w:rsid w:val="002F2DD7"/>
    <w:rsid w:val="002F3FF9"/>
    <w:rsid w:val="002F410F"/>
    <w:rsid w:val="002F45A7"/>
    <w:rsid w:val="002F4C7F"/>
    <w:rsid w:val="002F5811"/>
    <w:rsid w:val="002F5B8E"/>
    <w:rsid w:val="002F5C06"/>
    <w:rsid w:val="002F5F76"/>
    <w:rsid w:val="002F5FD1"/>
    <w:rsid w:val="002F6920"/>
    <w:rsid w:val="003007FB"/>
    <w:rsid w:val="00300CB8"/>
    <w:rsid w:val="003019C9"/>
    <w:rsid w:val="00302871"/>
    <w:rsid w:val="00303899"/>
    <w:rsid w:val="00304A89"/>
    <w:rsid w:val="00307600"/>
    <w:rsid w:val="00307EBF"/>
    <w:rsid w:val="00310177"/>
    <w:rsid w:val="003112C0"/>
    <w:rsid w:val="003117B5"/>
    <w:rsid w:val="00311EFC"/>
    <w:rsid w:val="00312226"/>
    <w:rsid w:val="0031332E"/>
    <w:rsid w:val="00313BA6"/>
    <w:rsid w:val="00314AC3"/>
    <w:rsid w:val="003154DD"/>
    <w:rsid w:val="00317443"/>
    <w:rsid w:val="0031778E"/>
    <w:rsid w:val="003202AA"/>
    <w:rsid w:val="00320E64"/>
    <w:rsid w:val="003214B2"/>
    <w:rsid w:val="00321F99"/>
    <w:rsid w:val="00322674"/>
    <w:rsid w:val="0032359E"/>
    <w:rsid w:val="00323BDE"/>
    <w:rsid w:val="003258FB"/>
    <w:rsid w:val="00326340"/>
    <w:rsid w:val="003265FB"/>
    <w:rsid w:val="00326734"/>
    <w:rsid w:val="0032698F"/>
    <w:rsid w:val="003270DB"/>
    <w:rsid w:val="00327690"/>
    <w:rsid w:val="00327C2A"/>
    <w:rsid w:val="0033106B"/>
    <w:rsid w:val="00331CF3"/>
    <w:rsid w:val="003356E1"/>
    <w:rsid w:val="0033650E"/>
    <w:rsid w:val="00336E98"/>
    <w:rsid w:val="00337230"/>
    <w:rsid w:val="00337474"/>
    <w:rsid w:val="003410D4"/>
    <w:rsid w:val="0034208A"/>
    <w:rsid w:val="003436E9"/>
    <w:rsid w:val="0034587E"/>
    <w:rsid w:val="00345DF3"/>
    <w:rsid w:val="0034600A"/>
    <w:rsid w:val="003461EA"/>
    <w:rsid w:val="0034647A"/>
    <w:rsid w:val="00350DA7"/>
    <w:rsid w:val="0035249C"/>
    <w:rsid w:val="00353D0C"/>
    <w:rsid w:val="00354052"/>
    <w:rsid w:val="00354C8B"/>
    <w:rsid w:val="00355928"/>
    <w:rsid w:val="00356E6F"/>
    <w:rsid w:val="00360764"/>
    <w:rsid w:val="00361293"/>
    <w:rsid w:val="00361413"/>
    <w:rsid w:val="00364027"/>
    <w:rsid w:val="003643F1"/>
    <w:rsid w:val="00364628"/>
    <w:rsid w:val="003654BD"/>
    <w:rsid w:val="003672E9"/>
    <w:rsid w:val="0036761F"/>
    <w:rsid w:val="00371FD8"/>
    <w:rsid w:val="003725B1"/>
    <w:rsid w:val="00374B8C"/>
    <w:rsid w:val="0037522C"/>
    <w:rsid w:val="00375370"/>
    <w:rsid w:val="00375930"/>
    <w:rsid w:val="00375F43"/>
    <w:rsid w:val="003806FA"/>
    <w:rsid w:val="00380B17"/>
    <w:rsid w:val="00381FBE"/>
    <w:rsid w:val="00382DAA"/>
    <w:rsid w:val="00383A8F"/>
    <w:rsid w:val="00383E77"/>
    <w:rsid w:val="00384997"/>
    <w:rsid w:val="003857D8"/>
    <w:rsid w:val="00386F74"/>
    <w:rsid w:val="0038783C"/>
    <w:rsid w:val="00387A22"/>
    <w:rsid w:val="00387B96"/>
    <w:rsid w:val="0039183B"/>
    <w:rsid w:val="00391947"/>
    <w:rsid w:val="00392F45"/>
    <w:rsid w:val="00395B4A"/>
    <w:rsid w:val="00395D06"/>
    <w:rsid w:val="00396735"/>
    <w:rsid w:val="00396BBC"/>
    <w:rsid w:val="00396D90"/>
    <w:rsid w:val="00397172"/>
    <w:rsid w:val="00397C20"/>
    <w:rsid w:val="00397E15"/>
    <w:rsid w:val="003A1753"/>
    <w:rsid w:val="003A32D6"/>
    <w:rsid w:val="003A36A5"/>
    <w:rsid w:val="003A5250"/>
    <w:rsid w:val="003A651A"/>
    <w:rsid w:val="003A66F7"/>
    <w:rsid w:val="003A7124"/>
    <w:rsid w:val="003B0700"/>
    <w:rsid w:val="003B2ACA"/>
    <w:rsid w:val="003B2FB0"/>
    <w:rsid w:val="003B307E"/>
    <w:rsid w:val="003B3258"/>
    <w:rsid w:val="003B3436"/>
    <w:rsid w:val="003B38AA"/>
    <w:rsid w:val="003B3BE5"/>
    <w:rsid w:val="003B460F"/>
    <w:rsid w:val="003B4D78"/>
    <w:rsid w:val="003B5F32"/>
    <w:rsid w:val="003C19F8"/>
    <w:rsid w:val="003C1BE9"/>
    <w:rsid w:val="003C5663"/>
    <w:rsid w:val="003D1494"/>
    <w:rsid w:val="003D1FE2"/>
    <w:rsid w:val="003D2687"/>
    <w:rsid w:val="003D3F56"/>
    <w:rsid w:val="003D428D"/>
    <w:rsid w:val="003D4B35"/>
    <w:rsid w:val="003D5021"/>
    <w:rsid w:val="003D5544"/>
    <w:rsid w:val="003D5ED0"/>
    <w:rsid w:val="003D66AA"/>
    <w:rsid w:val="003E0925"/>
    <w:rsid w:val="003E28F2"/>
    <w:rsid w:val="003E2E91"/>
    <w:rsid w:val="003E42CD"/>
    <w:rsid w:val="003E4F41"/>
    <w:rsid w:val="003E7622"/>
    <w:rsid w:val="003F0F56"/>
    <w:rsid w:val="003F25ED"/>
    <w:rsid w:val="003F3346"/>
    <w:rsid w:val="003F63E9"/>
    <w:rsid w:val="003F7F7A"/>
    <w:rsid w:val="0040045E"/>
    <w:rsid w:val="00400860"/>
    <w:rsid w:val="00400993"/>
    <w:rsid w:val="00400CC1"/>
    <w:rsid w:val="00401786"/>
    <w:rsid w:val="00401B99"/>
    <w:rsid w:val="00401BF4"/>
    <w:rsid w:val="004050C5"/>
    <w:rsid w:val="00405B15"/>
    <w:rsid w:val="004062B6"/>
    <w:rsid w:val="004070A0"/>
    <w:rsid w:val="004072B1"/>
    <w:rsid w:val="004076AA"/>
    <w:rsid w:val="00410324"/>
    <w:rsid w:val="0041079D"/>
    <w:rsid w:val="0041320B"/>
    <w:rsid w:val="0041323C"/>
    <w:rsid w:val="00413A49"/>
    <w:rsid w:val="00414D4A"/>
    <w:rsid w:val="00415518"/>
    <w:rsid w:val="00417692"/>
    <w:rsid w:val="00417962"/>
    <w:rsid w:val="00417CDD"/>
    <w:rsid w:val="00417F75"/>
    <w:rsid w:val="00420A93"/>
    <w:rsid w:val="0042191F"/>
    <w:rsid w:val="00422177"/>
    <w:rsid w:val="0042219E"/>
    <w:rsid w:val="0042306E"/>
    <w:rsid w:val="004251AA"/>
    <w:rsid w:val="00426CEA"/>
    <w:rsid w:val="00430347"/>
    <w:rsid w:val="004308E5"/>
    <w:rsid w:val="00430E44"/>
    <w:rsid w:val="0043117D"/>
    <w:rsid w:val="00433652"/>
    <w:rsid w:val="00434E02"/>
    <w:rsid w:val="004353DE"/>
    <w:rsid w:val="00435BA6"/>
    <w:rsid w:val="00435E20"/>
    <w:rsid w:val="00435E5B"/>
    <w:rsid w:val="00435F14"/>
    <w:rsid w:val="004361F6"/>
    <w:rsid w:val="00436BA1"/>
    <w:rsid w:val="00437411"/>
    <w:rsid w:val="00437731"/>
    <w:rsid w:val="00440899"/>
    <w:rsid w:val="0044105B"/>
    <w:rsid w:val="0044200E"/>
    <w:rsid w:val="004422FE"/>
    <w:rsid w:val="0044240E"/>
    <w:rsid w:val="00445783"/>
    <w:rsid w:val="0044624A"/>
    <w:rsid w:val="004463AF"/>
    <w:rsid w:val="004469C4"/>
    <w:rsid w:val="00446DE7"/>
    <w:rsid w:val="004474D4"/>
    <w:rsid w:val="0045019D"/>
    <w:rsid w:val="0045031D"/>
    <w:rsid w:val="0045042A"/>
    <w:rsid w:val="0045096B"/>
    <w:rsid w:val="0045290F"/>
    <w:rsid w:val="00452D3A"/>
    <w:rsid w:val="00453ED0"/>
    <w:rsid w:val="00454544"/>
    <w:rsid w:val="00457F0A"/>
    <w:rsid w:val="00460682"/>
    <w:rsid w:val="00460EFD"/>
    <w:rsid w:val="00461926"/>
    <w:rsid w:val="00461A82"/>
    <w:rsid w:val="0046312D"/>
    <w:rsid w:val="004636AF"/>
    <w:rsid w:val="0046579B"/>
    <w:rsid w:val="004679AE"/>
    <w:rsid w:val="00467D74"/>
    <w:rsid w:val="00470B88"/>
    <w:rsid w:val="00471244"/>
    <w:rsid w:val="00472997"/>
    <w:rsid w:val="00475C71"/>
    <w:rsid w:val="00481612"/>
    <w:rsid w:val="00482ACD"/>
    <w:rsid w:val="00482DCA"/>
    <w:rsid w:val="00482E4C"/>
    <w:rsid w:val="004832C5"/>
    <w:rsid w:val="00484CCE"/>
    <w:rsid w:val="00485546"/>
    <w:rsid w:val="00485BB0"/>
    <w:rsid w:val="00486758"/>
    <w:rsid w:val="004903D9"/>
    <w:rsid w:val="00491839"/>
    <w:rsid w:val="004920F7"/>
    <w:rsid w:val="00493956"/>
    <w:rsid w:val="00493B67"/>
    <w:rsid w:val="00494F5E"/>
    <w:rsid w:val="0049698F"/>
    <w:rsid w:val="00497092"/>
    <w:rsid w:val="004978EE"/>
    <w:rsid w:val="00497A96"/>
    <w:rsid w:val="004A0415"/>
    <w:rsid w:val="004A08F7"/>
    <w:rsid w:val="004A17B8"/>
    <w:rsid w:val="004A23DE"/>
    <w:rsid w:val="004A71E2"/>
    <w:rsid w:val="004A79C1"/>
    <w:rsid w:val="004A7A33"/>
    <w:rsid w:val="004B055E"/>
    <w:rsid w:val="004B260C"/>
    <w:rsid w:val="004B3CDA"/>
    <w:rsid w:val="004B49A0"/>
    <w:rsid w:val="004B6325"/>
    <w:rsid w:val="004B71BD"/>
    <w:rsid w:val="004C1384"/>
    <w:rsid w:val="004C23EB"/>
    <w:rsid w:val="004C25AD"/>
    <w:rsid w:val="004C2DB9"/>
    <w:rsid w:val="004C6624"/>
    <w:rsid w:val="004C6B1F"/>
    <w:rsid w:val="004C6EEE"/>
    <w:rsid w:val="004C7100"/>
    <w:rsid w:val="004C7B9E"/>
    <w:rsid w:val="004C7F0A"/>
    <w:rsid w:val="004D1876"/>
    <w:rsid w:val="004D27EA"/>
    <w:rsid w:val="004D4C5E"/>
    <w:rsid w:val="004D4D2E"/>
    <w:rsid w:val="004D56B0"/>
    <w:rsid w:val="004D6248"/>
    <w:rsid w:val="004D630A"/>
    <w:rsid w:val="004D684C"/>
    <w:rsid w:val="004D7A46"/>
    <w:rsid w:val="004D7CB0"/>
    <w:rsid w:val="004D7DA1"/>
    <w:rsid w:val="004E10E0"/>
    <w:rsid w:val="004E2302"/>
    <w:rsid w:val="004E2D26"/>
    <w:rsid w:val="004E50E6"/>
    <w:rsid w:val="004E6D1B"/>
    <w:rsid w:val="004E7E40"/>
    <w:rsid w:val="004F1225"/>
    <w:rsid w:val="004F1476"/>
    <w:rsid w:val="004F172F"/>
    <w:rsid w:val="004F1ADC"/>
    <w:rsid w:val="004F22B2"/>
    <w:rsid w:val="004F2DAB"/>
    <w:rsid w:val="004F3E6A"/>
    <w:rsid w:val="004F5EF7"/>
    <w:rsid w:val="004F7550"/>
    <w:rsid w:val="00500388"/>
    <w:rsid w:val="00500453"/>
    <w:rsid w:val="00500592"/>
    <w:rsid w:val="00500B4B"/>
    <w:rsid w:val="00501765"/>
    <w:rsid w:val="00502C0A"/>
    <w:rsid w:val="00506166"/>
    <w:rsid w:val="00507527"/>
    <w:rsid w:val="00510570"/>
    <w:rsid w:val="00510FD3"/>
    <w:rsid w:val="00511D90"/>
    <w:rsid w:val="00511DA5"/>
    <w:rsid w:val="00514407"/>
    <w:rsid w:val="00514D0C"/>
    <w:rsid w:val="00515BF5"/>
    <w:rsid w:val="00516EEE"/>
    <w:rsid w:val="005170D1"/>
    <w:rsid w:val="005174A9"/>
    <w:rsid w:val="00517C1C"/>
    <w:rsid w:val="00517C27"/>
    <w:rsid w:val="0052072B"/>
    <w:rsid w:val="0052178C"/>
    <w:rsid w:val="00524711"/>
    <w:rsid w:val="0052524B"/>
    <w:rsid w:val="005258C9"/>
    <w:rsid w:val="00525FBB"/>
    <w:rsid w:val="00527A60"/>
    <w:rsid w:val="005322F4"/>
    <w:rsid w:val="00534CC4"/>
    <w:rsid w:val="0053734C"/>
    <w:rsid w:val="005379C4"/>
    <w:rsid w:val="00541C2F"/>
    <w:rsid w:val="0054318A"/>
    <w:rsid w:val="005455E0"/>
    <w:rsid w:val="00546478"/>
    <w:rsid w:val="005476AD"/>
    <w:rsid w:val="005502DC"/>
    <w:rsid w:val="0055051C"/>
    <w:rsid w:val="005514CA"/>
    <w:rsid w:val="005521C1"/>
    <w:rsid w:val="005528BA"/>
    <w:rsid w:val="00552B93"/>
    <w:rsid w:val="00552F5F"/>
    <w:rsid w:val="00552FF8"/>
    <w:rsid w:val="0055323D"/>
    <w:rsid w:val="00553A76"/>
    <w:rsid w:val="00555563"/>
    <w:rsid w:val="00555D59"/>
    <w:rsid w:val="00555F17"/>
    <w:rsid w:val="00556500"/>
    <w:rsid w:val="00561519"/>
    <w:rsid w:val="00562058"/>
    <w:rsid w:val="005627BC"/>
    <w:rsid w:val="005649FC"/>
    <w:rsid w:val="00564EAF"/>
    <w:rsid w:val="005658F0"/>
    <w:rsid w:val="00565D6C"/>
    <w:rsid w:val="00565F4A"/>
    <w:rsid w:val="00566068"/>
    <w:rsid w:val="005664F4"/>
    <w:rsid w:val="005666DE"/>
    <w:rsid w:val="00567091"/>
    <w:rsid w:val="005678E1"/>
    <w:rsid w:val="00570868"/>
    <w:rsid w:val="00570C2B"/>
    <w:rsid w:val="00571767"/>
    <w:rsid w:val="00576259"/>
    <w:rsid w:val="005769EB"/>
    <w:rsid w:val="0058038A"/>
    <w:rsid w:val="00580749"/>
    <w:rsid w:val="00580F25"/>
    <w:rsid w:val="0058136B"/>
    <w:rsid w:val="00581B0F"/>
    <w:rsid w:val="00581F99"/>
    <w:rsid w:val="005835D7"/>
    <w:rsid w:val="00583AE4"/>
    <w:rsid w:val="00584432"/>
    <w:rsid w:val="00586349"/>
    <w:rsid w:val="0058657D"/>
    <w:rsid w:val="00587B35"/>
    <w:rsid w:val="0059225D"/>
    <w:rsid w:val="0059243A"/>
    <w:rsid w:val="00592EFD"/>
    <w:rsid w:val="005936EE"/>
    <w:rsid w:val="00593E2C"/>
    <w:rsid w:val="00593E79"/>
    <w:rsid w:val="00594629"/>
    <w:rsid w:val="00594BCD"/>
    <w:rsid w:val="00594F44"/>
    <w:rsid w:val="0059555F"/>
    <w:rsid w:val="005976C9"/>
    <w:rsid w:val="005A2458"/>
    <w:rsid w:val="005A2F22"/>
    <w:rsid w:val="005A43B3"/>
    <w:rsid w:val="005A45E0"/>
    <w:rsid w:val="005A4685"/>
    <w:rsid w:val="005A5F33"/>
    <w:rsid w:val="005A7172"/>
    <w:rsid w:val="005B0DE5"/>
    <w:rsid w:val="005B14F3"/>
    <w:rsid w:val="005B267D"/>
    <w:rsid w:val="005B46A1"/>
    <w:rsid w:val="005B511B"/>
    <w:rsid w:val="005B5D8B"/>
    <w:rsid w:val="005B7849"/>
    <w:rsid w:val="005B797B"/>
    <w:rsid w:val="005B7AE0"/>
    <w:rsid w:val="005C037A"/>
    <w:rsid w:val="005C1198"/>
    <w:rsid w:val="005C2797"/>
    <w:rsid w:val="005C6558"/>
    <w:rsid w:val="005D1784"/>
    <w:rsid w:val="005D32D6"/>
    <w:rsid w:val="005D3E8A"/>
    <w:rsid w:val="005D4CF0"/>
    <w:rsid w:val="005D56F5"/>
    <w:rsid w:val="005D7883"/>
    <w:rsid w:val="005E03B2"/>
    <w:rsid w:val="005E0C86"/>
    <w:rsid w:val="005E120D"/>
    <w:rsid w:val="005E16A7"/>
    <w:rsid w:val="005E2465"/>
    <w:rsid w:val="005E4041"/>
    <w:rsid w:val="005E57D9"/>
    <w:rsid w:val="005E62C1"/>
    <w:rsid w:val="005E6443"/>
    <w:rsid w:val="005F2263"/>
    <w:rsid w:val="005F322E"/>
    <w:rsid w:val="005F444E"/>
    <w:rsid w:val="005F5DDE"/>
    <w:rsid w:val="005F7A4A"/>
    <w:rsid w:val="005F7F88"/>
    <w:rsid w:val="006006FC"/>
    <w:rsid w:val="00602CB9"/>
    <w:rsid w:val="00603417"/>
    <w:rsid w:val="00603A91"/>
    <w:rsid w:val="00603C9F"/>
    <w:rsid w:val="00603FAC"/>
    <w:rsid w:val="006063CB"/>
    <w:rsid w:val="00606A6E"/>
    <w:rsid w:val="0060737D"/>
    <w:rsid w:val="006102D0"/>
    <w:rsid w:val="00612D78"/>
    <w:rsid w:val="00616151"/>
    <w:rsid w:val="00616E9C"/>
    <w:rsid w:val="0061733C"/>
    <w:rsid w:val="006174AD"/>
    <w:rsid w:val="00617A4C"/>
    <w:rsid w:val="00620072"/>
    <w:rsid w:val="00620E26"/>
    <w:rsid w:val="0062111F"/>
    <w:rsid w:val="006217E3"/>
    <w:rsid w:val="00622469"/>
    <w:rsid w:val="00623FC7"/>
    <w:rsid w:val="00625251"/>
    <w:rsid w:val="006256E9"/>
    <w:rsid w:val="0062608C"/>
    <w:rsid w:val="0062689D"/>
    <w:rsid w:val="00626D7D"/>
    <w:rsid w:val="00627242"/>
    <w:rsid w:val="00627626"/>
    <w:rsid w:val="00630D3A"/>
    <w:rsid w:val="006324FB"/>
    <w:rsid w:val="00632C69"/>
    <w:rsid w:val="00632EDD"/>
    <w:rsid w:val="00634BED"/>
    <w:rsid w:val="00634F8F"/>
    <w:rsid w:val="00635A58"/>
    <w:rsid w:val="0063636A"/>
    <w:rsid w:val="006416C6"/>
    <w:rsid w:val="006420DD"/>
    <w:rsid w:val="0064263D"/>
    <w:rsid w:val="00643CAE"/>
    <w:rsid w:val="006469B5"/>
    <w:rsid w:val="00646DC7"/>
    <w:rsid w:val="00650896"/>
    <w:rsid w:val="006517C0"/>
    <w:rsid w:val="00651EF3"/>
    <w:rsid w:val="00652CC8"/>
    <w:rsid w:val="00652DFA"/>
    <w:rsid w:val="00653506"/>
    <w:rsid w:val="00655135"/>
    <w:rsid w:val="006557C4"/>
    <w:rsid w:val="00655DCF"/>
    <w:rsid w:val="0065773B"/>
    <w:rsid w:val="006609FC"/>
    <w:rsid w:val="00662B45"/>
    <w:rsid w:val="0066460B"/>
    <w:rsid w:val="00664C64"/>
    <w:rsid w:val="00664F8B"/>
    <w:rsid w:val="00665C09"/>
    <w:rsid w:val="00665D85"/>
    <w:rsid w:val="006664F1"/>
    <w:rsid w:val="00667C36"/>
    <w:rsid w:val="0067118C"/>
    <w:rsid w:val="006716AF"/>
    <w:rsid w:val="006716B3"/>
    <w:rsid w:val="00671C6E"/>
    <w:rsid w:val="00673B16"/>
    <w:rsid w:val="00674ABF"/>
    <w:rsid w:val="00675EAF"/>
    <w:rsid w:val="006779C6"/>
    <w:rsid w:val="00677A38"/>
    <w:rsid w:val="00677D4D"/>
    <w:rsid w:val="006804D7"/>
    <w:rsid w:val="00680D08"/>
    <w:rsid w:val="00681B5C"/>
    <w:rsid w:val="00681E21"/>
    <w:rsid w:val="00682669"/>
    <w:rsid w:val="006828D4"/>
    <w:rsid w:val="00683030"/>
    <w:rsid w:val="00683348"/>
    <w:rsid w:val="00684A26"/>
    <w:rsid w:val="00686142"/>
    <w:rsid w:val="0068634A"/>
    <w:rsid w:val="00687931"/>
    <w:rsid w:val="00691896"/>
    <w:rsid w:val="00692B05"/>
    <w:rsid w:val="00692C46"/>
    <w:rsid w:val="00695325"/>
    <w:rsid w:val="006961A4"/>
    <w:rsid w:val="006961B7"/>
    <w:rsid w:val="00696DF3"/>
    <w:rsid w:val="00697222"/>
    <w:rsid w:val="00697833"/>
    <w:rsid w:val="00697C4C"/>
    <w:rsid w:val="006A041E"/>
    <w:rsid w:val="006A22AC"/>
    <w:rsid w:val="006A2F01"/>
    <w:rsid w:val="006A328B"/>
    <w:rsid w:val="006A3E84"/>
    <w:rsid w:val="006A48E0"/>
    <w:rsid w:val="006A49A4"/>
    <w:rsid w:val="006A4E9E"/>
    <w:rsid w:val="006A50FB"/>
    <w:rsid w:val="006A5961"/>
    <w:rsid w:val="006A7083"/>
    <w:rsid w:val="006A7B6E"/>
    <w:rsid w:val="006B139F"/>
    <w:rsid w:val="006B1A36"/>
    <w:rsid w:val="006B2C60"/>
    <w:rsid w:val="006B2F3D"/>
    <w:rsid w:val="006B3BF0"/>
    <w:rsid w:val="006B47D9"/>
    <w:rsid w:val="006B50A9"/>
    <w:rsid w:val="006B5567"/>
    <w:rsid w:val="006B6BBB"/>
    <w:rsid w:val="006B7952"/>
    <w:rsid w:val="006B7E66"/>
    <w:rsid w:val="006C003D"/>
    <w:rsid w:val="006C05F8"/>
    <w:rsid w:val="006C12B2"/>
    <w:rsid w:val="006C1501"/>
    <w:rsid w:val="006C2089"/>
    <w:rsid w:val="006C2B9B"/>
    <w:rsid w:val="006C2ED9"/>
    <w:rsid w:val="006C370F"/>
    <w:rsid w:val="006C4722"/>
    <w:rsid w:val="006C6DFA"/>
    <w:rsid w:val="006C6FD8"/>
    <w:rsid w:val="006C72CD"/>
    <w:rsid w:val="006D0376"/>
    <w:rsid w:val="006D085D"/>
    <w:rsid w:val="006D1284"/>
    <w:rsid w:val="006D21DC"/>
    <w:rsid w:val="006D2CAA"/>
    <w:rsid w:val="006D371F"/>
    <w:rsid w:val="006D3B7B"/>
    <w:rsid w:val="006D436A"/>
    <w:rsid w:val="006D52DD"/>
    <w:rsid w:val="006D64CE"/>
    <w:rsid w:val="006D6825"/>
    <w:rsid w:val="006D73B3"/>
    <w:rsid w:val="006E0203"/>
    <w:rsid w:val="006E0363"/>
    <w:rsid w:val="006E082A"/>
    <w:rsid w:val="006E13A3"/>
    <w:rsid w:val="006E17E5"/>
    <w:rsid w:val="006E1971"/>
    <w:rsid w:val="006E2666"/>
    <w:rsid w:val="006E45C4"/>
    <w:rsid w:val="006F0FFC"/>
    <w:rsid w:val="006F1F34"/>
    <w:rsid w:val="006F20B1"/>
    <w:rsid w:val="006F2735"/>
    <w:rsid w:val="006F2A23"/>
    <w:rsid w:val="006F3BC3"/>
    <w:rsid w:val="006F492B"/>
    <w:rsid w:val="006F525E"/>
    <w:rsid w:val="006F67B7"/>
    <w:rsid w:val="006F68EC"/>
    <w:rsid w:val="006F72A4"/>
    <w:rsid w:val="006F786E"/>
    <w:rsid w:val="006F7E67"/>
    <w:rsid w:val="006F7F3A"/>
    <w:rsid w:val="0070061C"/>
    <w:rsid w:val="0070087E"/>
    <w:rsid w:val="007013E0"/>
    <w:rsid w:val="007020AD"/>
    <w:rsid w:val="007021C3"/>
    <w:rsid w:val="00702679"/>
    <w:rsid w:val="007036E6"/>
    <w:rsid w:val="00707A6C"/>
    <w:rsid w:val="00710392"/>
    <w:rsid w:val="00711B30"/>
    <w:rsid w:val="00711EF2"/>
    <w:rsid w:val="0071329A"/>
    <w:rsid w:val="00714E90"/>
    <w:rsid w:val="00715783"/>
    <w:rsid w:val="00717660"/>
    <w:rsid w:val="00720C93"/>
    <w:rsid w:val="00722D84"/>
    <w:rsid w:val="00723A27"/>
    <w:rsid w:val="007244B3"/>
    <w:rsid w:val="00724AB8"/>
    <w:rsid w:val="00725A3B"/>
    <w:rsid w:val="00725DA8"/>
    <w:rsid w:val="00727523"/>
    <w:rsid w:val="0073088D"/>
    <w:rsid w:val="00730C3B"/>
    <w:rsid w:val="00731F29"/>
    <w:rsid w:val="00732947"/>
    <w:rsid w:val="00733E7C"/>
    <w:rsid w:val="00736A4E"/>
    <w:rsid w:val="00740AB4"/>
    <w:rsid w:val="00740ED1"/>
    <w:rsid w:val="007414EB"/>
    <w:rsid w:val="00741F61"/>
    <w:rsid w:val="00743367"/>
    <w:rsid w:val="007436F8"/>
    <w:rsid w:val="00743EA5"/>
    <w:rsid w:val="007446F6"/>
    <w:rsid w:val="007449E8"/>
    <w:rsid w:val="00744A4F"/>
    <w:rsid w:val="00745565"/>
    <w:rsid w:val="00746B90"/>
    <w:rsid w:val="00747864"/>
    <w:rsid w:val="00747F70"/>
    <w:rsid w:val="00750222"/>
    <w:rsid w:val="00750B82"/>
    <w:rsid w:val="00750C09"/>
    <w:rsid w:val="00751905"/>
    <w:rsid w:val="0075237B"/>
    <w:rsid w:val="00752B30"/>
    <w:rsid w:val="00753238"/>
    <w:rsid w:val="0075376A"/>
    <w:rsid w:val="00755DA1"/>
    <w:rsid w:val="00756017"/>
    <w:rsid w:val="00756641"/>
    <w:rsid w:val="00756A69"/>
    <w:rsid w:val="007573A2"/>
    <w:rsid w:val="00760216"/>
    <w:rsid w:val="007611C0"/>
    <w:rsid w:val="00762B34"/>
    <w:rsid w:val="00762F59"/>
    <w:rsid w:val="00763256"/>
    <w:rsid w:val="00764C80"/>
    <w:rsid w:val="00766629"/>
    <w:rsid w:val="00766A7A"/>
    <w:rsid w:val="0076736F"/>
    <w:rsid w:val="00767FFE"/>
    <w:rsid w:val="00770338"/>
    <w:rsid w:val="00771626"/>
    <w:rsid w:val="00771770"/>
    <w:rsid w:val="00771BCA"/>
    <w:rsid w:val="007720E0"/>
    <w:rsid w:val="007740FB"/>
    <w:rsid w:val="00777075"/>
    <w:rsid w:val="00780F66"/>
    <w:rsid w:val="0078156E"/>
    <w:rsid w:val="0078296C"/>
    <w:rsid w:val="0078305D"/>
    <w:rsid w:val="007833F8"/>
    <w:rsid w:val="0078697C"/>
    <w:rsid w:val="007901AB"/>
    <w:rsid w:val="00790686"/>
    <w:rsid w:val="00790E7F"/>
    <w:rsid w:val="00791331"/>
    <w:rsid w:val="00793E07"/>
    <w:rsid w:val="00794107"/>
    <w:rsid w:val="00794165"/>
    <w:rsid w:val="00794279"/>
    <w:rsid w:val="00794455"/>
    <w:rsid w:val="00794B02"/>
    <w:rsid w:val="007961B4"/>
    <w:rsid w:val="007A6E9D"/>
    <w:rsid w:val="007A6FD3"/>
    <w:rsid w:val="007B0284"/>
    <w:rsid w:val="007B1297"/>
    <w:rsid w:val="007B29C9"/>
    <w:rsid w:val="007B2E3B"/>
    <w:rsid w:val="007B357B"/>
    <w:rsid w:val="007B3673"/>
    <w:rsid w:val="007B383B"/>
    <w:rsid w:val="007B50CA"/>
    <w:rsid w:val="007C164C"/>
    <w:rsid w:val="007C1BC5"/>
    <w:rsid w:val="007C2B82"/>
    <w:rsid w:val="007C2D5C"/>
    <w:rsid w:val="007C3B4F"/>
    <w:rsid w:val="007C40D8"/>
    <w:rsid w:val="007C4350"/>
    <w:rsid w:val="007C62D2"/>
    <w:rsid w:val="007C6755"/>
    <w:rsid w:val="007C6CAE"/>
    <w:rsid w:val="007C6D24"/>
    <w:rsid w:val="007C6E9B"/>
    <w:rsid w:val="007C7AF0"/>
    <w:rsid w:val="007C7C4A"/>
    <w:rsid w:val="007D0051"/>
    <w:rsid w:val="007D0DA6"/>
    <w:rsid w:val="007D311B"/>
    <w:rsid w:val="007D3B94"/>
    <w:rsid w:val="007D3CA4"/>
    <w:rsid w:val="007D3E48"/>
    <w:rsid w:val="007D4377"/>
    <w:rsid w:val="007D5AA7"/>
    <w:rsid w:val="007D6023"/>
    <w:rsid w:val="007D6AB0"/>
    <w:rsid w:val="007D6DFC"/>
    <w:rsid w:val="007D7233"/>
    <w:rsid w:val="007D7623"/>
    <w:rsid w:val="007E17E0"/>
    <w:rsid w:val="007E242F"/>
    <w:rsid w:val="007E2AFF"/>
    <w:rsid w:val="007E34F6"/>
    <w:rsid w:val="007E4057"/>
    <w:rsid w:val="007E4D5C"/>
    <w:rsid w:val="007E5352"/>
    <w:rsid w:val="007E597A"/>
    <w:rsid w:val="007F0104"/>
    <w:rsid w:val="007F015D"/>
    <w:rsid w:val="007F05C3"/>
    <w:rsid w:val="007F0DCB"/>
    <w:rsid w:val="007F23F4"/>
    <w:rsid w:val="007F3724"/>
    <w:rsid w:val="007F440F"/>
    <w:rsid w:val="007F46E4"/>
    <w:rsid w:val="007F4FD7"/>
    <w:rsid w:val="007F53E1"/>
    <w:rsid w:val="007F6FB6"/>
    <w:rsid w:val="007F7867"/>
    <w:rsid w:val="00800450"/>
    <w:rsid w:val="00800482"/>
    <w:rsid w:val="0080110E"/>
    <w:rsid w:val="00801B22"/>
    <w:rsid w:val="00802F2A"/>
    <w:rsid w:val="00803159"/>
    <w:rsid w:val="00804D32"/>
    <w:rsid w:val="00804F41"/>
    <w:rsid w:val="008054CF"/>
    <w:rsid w:val="00806E00"/>
    <w:rsid w:val="0080706E"/>
    <w:rsid w:val="008113F9"/>
    <w:rsid w:val="0081183A"/>
    <w:rsid w:val="0081197C"/>
    <w:rsid w:val="008133C9"/>
    <w:rsid w:val="00813792"/>
    <w:rsid w:val="00813FBF"/>
    <w:rsid w:val="00813FD6"/>
    <w:rsid w:val="008140C9"/>
    <w:rsid w:val="00814495"/>
    <w:rsid w:val="00814D46"/>
    <w:rsid w:val="00815485"/>
    <w:rsid w:val="008162F8"/>
    <w:rsid w:val="00817654"/>
    <w:rsid w:val="0081789D"/>
    <w:rsid w:val="00817CEF"/>
    <w:rsid w:val="0082060C"/>
    <w:rsid w:val="00822632"/>
    <w:rsid w:val="00823011"/>
    <w:rsid w:val="008231AA"/>
    <w:rsid w:val="008241F9"/>
    <w:rsid w:val="00824D08"/>
    <w:rsid w:val="00825FE5"/>
    <w:rsid w:val="00826561"/>
    <w:rsid w:val="00827BB3"/>
    <w:rsid w:val="00827EA8"/>
    <w:rsid w:val="00830D72"/>
    <w:rsid w:val="00830FDD"/>
    <w:rsid w:val="00834443"/>
    <w:rsid w:val="00834B9C"/>
    <w:rsid w:val="008356CE"/>
    <w:rsid w:val="00836286"/>
    <w:rsid w:val="00836CDC"/>
    <w:rsid w:val="00837353"/>
    <w:rsid w:val="00840FBF"/>
    <w:rsid w:val="008419F1"/>
    <w:rsid w:val="00841C6C"/>
    <w:rsid w:val="008447AB"/>
    <w:rsid w:val="008450B5"/>
    <w:rsid w:val="00846EF2"/>
    <w:rsid w:val="0085123C"/>
    <w:rsid w:val="0085178C"/>
    <w:rsid w:val="00851DF8"/>
    <w:rsid w:val="008523D3"/>
    <w:rsid w:val="00853195"/>
    <w:rsid w:val="008533D4"/>
    <w:rsid w:val="00853C57"/>
    <w:rsid w:val="00854124"/>
    <w:rsid w:val="00855362"/>
    <w:rsid w:val="0085619E"/>
    <w:rsid w:val="0086126B"/>
    <w:rsid w:val="00861C1E"/>
    <w:rsid w:val="0086236E"/>
    <w:rsid w:val="008626E3"/>
    <w:rsid w:val="00862A30"/>
    <w:rsid w:val="00862B8D"/>
    <w:rsid w:val="00862F64"/>
    <w:rsid w:val="00863E9D"/>
    <w:rsid w:val="00864C9B"/>
    <w:rsid w:val="008651E2"/>
    <w:rsid w:val="008659AF"/>
    <w:rsid w:val="00865F41"/>
    <w:rsid w:val="008667A5"/>
    <w:rsid w:val="00867A47"/>
    <w:rsid w:val="00867C9C"/>
    <w:rsid w:val="00870146"/>
    <w:rsid w:val="0087027E"/>
    <w:rsid w:val="0087203B"/>
    <w:rsid w:val="0087224D"/>
    <w:rsid w:val="00872F6E"/>
    <w:rsid w:val="00874E9A"/>
    <w:rsid w:val="00874FF0"/>
    <w:rsid w:val="008768C9"/>
    <w:rsid w:val="00882C63"/>
    <w:rsid w:val="00885094"/>
    <w:rsid w:val="008854EE"/>
    <w:rsid w:val="00885D47"/>
    <w:rsid w:val="00886065"/>
    <w:rsid w:val="00886CF0"/>
    <w:rsid w:val="008903F7"/>
    <w:rsid w:val="008906F0"/>
    <w:rsid w:val="0089079E"/>
    <w:rsid w:val="0089097B"/>
    <w:rsid w:val="008951A3"/>
    <w:rsid w:val="00895312"/>
    <w:rsid w:val="0089581A"/>
    <w:rsid w:val="008A035E"/>
    <w:rsid w:val="008A0B70"/>
    <w:rsid w:val="008A123F"/>
    <w:rsid w:val="008A1FC0"/>
    <w:rsid w:val="008A41BE"/>
    <w:rsid w:val="008A54C2"/>
    <w:rsid w:val="008A57DF"/>
    <w:rsid w:val="008A63BE"/>
    <w:rsid w:val="008A6726"/>
    <w:rsid w:val="008B04F6"/>
    <w:rsid w:val="008B0B5A"/>
    <w:rsid w:val="008B114B"/>
    <w:rsid w:val="008B161D"/>
    <w:rsid w:val="008B1AA5"/>
    <w:rsid w:val="008B3A14"/>
    <w:rsid w:val="008B40C7"/>
    <w:rsid w:val="008B50F1"/>
    <w:rsid w:val="008B5EA3"/>
    <w:rsid w:val="008B6E39"/>
    <w:rsid w:val="008B743C"/>
    <w:rsid w:val="008B756D"/>
    <w:rsid w:val="008C063C"/>
    <w:rsid w:val="008C1414"/>
    <w:rsid w:val="008C1536"/>
    <w:rsid w:val="008C2061"/>
    <w:rsid w:val="008C2C33"/>
    <w:rsid w:val="008C574B"/>
    <w:rsid w:val="008C5CC2"/>
    <w:rsid w:val="008C60DE"/>
    <w:rsid w:val="008C7284"/>
    <w:rsid w:val="008C782D"/>
    <w:rsid w:val="008C7E7F"/>
    <w:rsid w:val="008D011D"/>
    <w:rsid w:val="008D09C6"/>
    <w:rsid w:val="008D0B87"/>
    <w:rsid w:val="008D0C8F"/>
    <w:rsid w:val="008D168C"/>
    <w:rsid w:val="008D1E77"/>
    <w:rsid w:val="008D246A"/>
    <w:rsid w:val="008D2DA0"/>
    <w:rsid w:val="008D36B9"/>
    <w:rsid w:val="008D3966"/>
    <w:rsid w:val="008D6CA7"/>
    <w:rsid w:val="008D7B26"/>
    <w:rsid w:val="008D7E49"/>
    <w:rsid w:val="008E1165"/>
    <w:rsid w:val="008E1A9F"/>
    <w:rsid w:val="008E1EB8"/>
    <w:rsid w:val="008E218E"/>
    <w:rsid w:val="008E3280"/>
    <w:rsid w:val="008E3860"/>
    <w:rsid w:val="008E3FEA"/>
    <w:rsid w:val="008E65D6"/>
    <w:rsid w:val="008E67E9"/>
    <w:rsid w:val="008E7224"/>
    <w:rsid w:val="008E7940"/>
    <w:rsid w:val="008F013E"/>
    <w:rsid w:val="008F08BC"/>
    <w:rsid w:val="008F0CEC"/>
    <w:rsid w:val="008F13F8"/>
    <w:rsid w:val="008F31CA"/>
    <w:rsid w:val="00900150"/>
    <w:rsid w:val="00900432"/>
    <w:rsid w:val="0090119C"/>
    <w:rsid w:val="00904CAC"/>
    <w:rsid w:val="00905250"/>
    <w:rsid w:val="00905B45"/>
    <w:rsid w:val="00907ED0"/>
    <w:rsid w:val="0091128A"/>
    <w:rsid w:val="00911548"/>
    <w:rsid w:val="00911B5D"/>
    <w:rsid w:val="00911D71"/>
    <w:rsid w:val="009125BA"/>
    <w:rsid w:val="009128C6"/>
    <w:rsid w:val="009135B3"/>
    <w:rsid w:val="0091377B"/>
    <w:rsid w:val="0091441C"/>
    <w:rsid w:val="00915CEE"/>
    <w:rsid w:val="00915EA4"/>
    <w:rsid w:val="00916271"/>
    <w:rsid w:val="0092099A"/>
    <w:rsid w:val="009211FC"/>
    <w:rsid w:val="00923167"/>
    <w:rsid w:val="0092535D"/>
    <w:rsid w:val="00925C46"/>
    <w:rsid w:val="00927C54"/>
    <w:rsid w:val="00927C8A"/>
    <w:rsid w:val="00930907"/>
    <w:rsid w:val="009314AF"/>
    <w:rsid w:val="0093184A"/>
    <w:rsid w:val="00931C5A"/>
    <w:rsid w:val="00931D19"/>
    <w:rsid w:val="0093244B"/>
    <w:rsid w:val="009326B0"/>
    <w:rsid w:val="00932FB2"/>
    <w:rsid w:val="009367A5"/>
    <w:rsid w:val="00937259"/>
    <w:rsid w:val="0094169F"/>
    <w:rsid w:val="009432E8"/>
    <w:rsid w:val="00945D5D"/>
    <w:rsid w:val="00946941"/>
    <w:rsid w:val="00946DC9"/>
    <w:rsid w:val="0095027C"/>
    <w:rsid w:val="00950522"/>
    <w:rsid w:val="00952AFD"/>
    <w:rsid w:val="0095395E"/>
    <w:rsid w:val="009543B9"/>
    <w:rsid w:val="009543BF"/>
    <w:rsid w:val="00954F3C"/>
    <w:rsid w:val="009561D7"/>
    <w:rsid w:val="0095729E"/>
    <w:rsid w:val="00957A98"/>
    <w:rsid w:val="00957D3B"/>
    <w:rsid w:val="00957D96"/>
    <w:rsid w:val="00960082"/>
    <w:rsid w:val="00962565"/>
    <w:rsid w:val="00962707"/>
    <w:rsid w:val="00962854"/>
    <w:rsid w:val="00964007"/>
    <w:rsid w:val="00964AD2"/>
    <w:rsid w:val="00965B45"/>
    <w:rsid w:val="00966145"/>
    <w:rsid w:val="009665B5"/>
    <w:rsid w:val="0096777B"/>
    <w:rsid w:val="00971074"/>
    <w:rsid w:val="00971D12"/>
    <w:rsid w:val="00972593"/>
    <w:rsid w:val="00972BD2"/>
    <w:rsid w:val="009734DD"/>
    <w:rsid w:val="00975C59"/>
    <w:rsid w:val="00975F45"/>
    <w:rsid w:val="0097661E"/>
    <w:rsid w:val="00976AAF"/>
    <w:rsid w:val="00976ED7"/>
    <w:rsid w:val="00977AA9"/>
    <w:rsid w:val="00977D11"/>
    <w:rsid w:val="00977FED"/>
    <w:rsid w:val="00980CF5"/>
    <w:rsid w:val="00980F23"/>
    <w:rsid w:val="00981D6F"/>
    <w:rsid w:val="00982951"/>
    <w:rsid w:val="009834D5"/>
    <w:rsid w:val="0098367E"/>
    <w:rsid w:val="0098431B"/>
    <w:rsid w:val="00984A53"/>
    <w:rsid w:val="00984D05"/>
    <w:rsid w:val="00985485"/>
    <w:rsid w:val="00986154"/>
    <w:rsid w:val="009864BF"/>
    <w:rsid w:val="009871A9"/>
    <w:rsid w:val="009875DD"/>
    <w:rsid w:val="00987F20"/>
    <w:rsid w:val="00990925"/>
    <w:rsid w:val="0099123D"/>
    <w:rsid w:val="00992A1F"/>
    <w:rsid w:val="0099489F"/>
    <w:rsid w:val="00994EF7"/>
    <w:rsid w:val="0099503D"/>
    <w:rsid w:val="009956BC"/>
    <w:rsid w:val="0099598D"/>
    <w:rsid w:val="00995AAA"/>
    <w:rsid w:val="009979C2"/>
    <w:rsid w:val="00997B93"/>
    <w:rsid w:val="00997D2C"/>
    <w:rsid w:val="00997FCD"/>
    <w:rsid w:val="009A0C67"/>
    <w:rsid w:val="009A13FF"/>
    <w:rsid w:val="009A3ECD"/>
    <w:rsid w:val="009A45F2"/>
    <w:rsid w:val="009A5B3A"/>
    <w:rsid w:val="009A5DFB"/>
    <w:rsid w:val="009A60F1"/>
    <w:rsid w:val="009A7BC4"/>
    <w:rsid w:val="009B31CF"/>
    <w:rsid w:val="009B5447"/>
    <w:rsid w:val="009B5CEE"/>
    <w:rsid w:val="009B608A"/>
    <w:rsid w:val="009B6DB7"/>
    <w:rsid w:val="009B752A"/>
    <w:rsid w:val="009B7C84"/>
    <w:rsid w:val="009C08D2"/>
    <w:rsid w:val="009C0BA8"/>
    <w:rsid w:val="009C1CDF"/>
    <w:rsid w:val="009C2253"/>
    <w:rsid w:val="009C28EC"/>
    <w:rsid w:val="009C2987"/>
    <w:rsid w:val="009C38C7"/>
    <w:rsid w:val="009C4E51"/>
    <w:rsid w:val="009C6539"/>
    <w:rsid w:val="009C6540"/>
    <w:rsid w:val="009C674D"/>
    <w:rsid w:val="009C68A4"/>
    <w:rsid w:val="009C698A"/>
    <w:rsid w:val="009C6A06"/>
    <w:rsid w:val="009C6C21"/>
    <w:rsid w:val="009C7E67"/>
    <w:rsid w:val="009D0650"/>
    <w:rsid w:val="009D0A71"/>
    <w:rsid w:val="009D577E"/>
    <w:rsid w:val="009D638E"/>
    <w:rsid w:val="009D6392"/>
    <w:rsid w:val="009E0A54"/>
    <w:rsid w:val="009E1514"/>
    <w:rsid w:val="009E15BA"/>
    <w:rsid w:val="009E1F21"/>
    <w:rsid w:val="009E20A4"/>
    <w:rsid w:val="009E2475"/>
    <w:rsid w:val="009E334A"/>
    <w:rsid w:val="009E4054"/>
    <w:rsid w:val="009E4E1B"/>
    <w:rsid w:val="009E5905"/>
    <w:rsid w:val="009E60D7"/>
    <w:rsid w:val="009E63D3"/>
    <w:rsid w:val="009E6846"/>
    <w:rsid w:val="009F1EB9"/>
    <w:rsid w:val="009F2BB8"/>
    <w:rsid w:val="009F39C3"/>
    <w:rsid w:val="009F456C"/>
    <w:rsid w:val="009F5F5F"/>
    <w:rsid w:val="009F7A3D"/>
    <w:rsid w:val="00A00BE8"/>
    <w:rsid w:val="00A00BF7"/>
    <w:rsid w:val="00A00C8B"/>
    <w:rsid w:val="00A022B8"/>
    <w:rsid w:val="00A03528"/>
    <w:rsid w:val="00A035A2"/>
    <w:rsid w:val="00A041DD"/>
    <w:rsid w:val="00A04631"/>
    <w:rsid w:val="00A05DC2"/>
    <w:rsid w:val="00A066C1"/>
    <w:rsid w:val="00A06A86"/>
    <w:rsid w:val="00A12BFD"/>
    <w:rsid w:val="00A14661"/>
    <w:rsid w:val="00A1547D"/>
    <w:rsid w:val="00A16009"/>
    <w:rsid w:val="00A16A5D"/>
    <w:rsid w:val="00A20D7C"/>
    <w:rsid w:val="00A2183D"/>
    <w:rsid w:val="00A22BCE"/>
    <w:rsid w:val="00A23D72"/>
    <w:rsid w:val="00A25526"/>
    <w:rsid w:val="00A25ECC"/>
    <w:rsid w:val="00A27017"/>
    <w:rsid w:val="00A2702F"/>
    <w:rsid w:val="00A27574"/>
    <w:rsid w:val="00A30057"/>
    <w:rsid w:val="00A3011F"/>
    <w:rsid w:val="00A301A3"/>
    <w:rsid w:val="00A309B8"/>
    <w:rsid w:val="00A32EEF"/>
    <w:rsid w:val="00A33D9B"/>
    <w:rsid w:val="00A356F3"/>
    <w:rsid w:val="00A35F8F"/>
    <w:rsid w:val="00A37583"/>
    <w:rsid w:val="00A37E95"/>
    <w:rsid w:val="00A410E4"/>
    <w:rsid w:val="00A413BA"/>
    <w:rsid w:val="00A419BC"/>
    <w:rsid w:val="00A42456"/>
    <w:rsid w:val="00A432C1"/>
    <w:rsid w:val="00A4424A"/>
    <w:rsid w:val="00A44834"/>
    <w:rsid w:val="00A44999"/>
    <w:rsid w:val="00A450D0"/>
    <w:rsid w:val="00A466C9"/>
    <w:rsid w:val="00A47C90"/>
    <w:rsid w:val="00A5190D"/>
    <w:rsid w:val="00A54CA2"/>
    <w:rsid w:val="00A5549A"/>
    <w:rsid w:val="00A55A61"/>
    <w:rsid w:val="00A56F18"/>
    <w:rsid w:val="00A5793D"/>
    <w:rsid w:val="00A600D8"/>
    <w:rsid w:val="00A6233D"/>
    <w:rsid w:val="00A624FF"/>
    <w:rsid w:val="00A6309D"/>
    <w:rsid w:val="00A64B89"/>
    <w:rsid w:val="00A65890"/>
    <w:rsid w:val="00A66B56"/>
    <w:rsid w:val="00A67135"/>
    <w:rsid w:val="00A71BFF"/>
    <w:rsid w:val="00A73538"/>
    <w:rsid w:val="00A738CF"/>
    <w:rsid w:val="00A73AE9"/>
    <w:rsid w:val="00A75B2C"/>
    <w:rsid w:val="00A76552"/>
    <w:rsid w:val="00A8050C"/>
    <w:rsid w:val="00A80914"/>
    <w:rsid w:val="00A80A25"/>
    <w:rsid w:val="00A817BA"/>
    <w:rsid w:val="00A81848"/>
    <w:rsid w:val="00A83898"/>
    <w:rsid w:val="00A83D63"/>
    <w:rsid w:val="00A85ED7"/>
    <w:rsid w:val="00A86701"/>
    <w:rsid w:val="00A86A6D"/>
    <w:rsid w:val="00A87E8F"/>
    <w:rsid w:val="00A92481"/>
    <w:rsid w:val="00A93D2C"/>
    <w:rsid w:val="00A942EB"/>
    <w:rsid w:val="00A945F5"/>
    <w:rsid w:val="00A952EC"/>
    <w:rsid w:val="00A9564D"/>
    <w:rsid w:val="00A95CD4"/>
    <w:rsid w:val="00A96D06"/>
    <w:rsid w:val="00A96D29"/>
    <w:rsid w:val="00A972F9"/>
    <w:rsid w:val="00AA061B"/>
    <w:rsid w:val="00AA0709"/>
    <w:rsid w:val="00AA17A9"/>
    <w:rsid w:val="00AA20B2"/>
    <w:rsid w:val="00AA2217"/>
    <w:rsid w:val="00AA2251"/>
    <w:rsid w:val="00AA267D"/>
    <w:rsid w:val="00AA269B"/>
    <w:rsid w:val="00AA290C"/>
    <w:rsid w:val="00AA2B21"/>
    <w:rsid w:val="00AA3968"/>
    <w:rsid w:val="00AB17AD"/>
    <w:rsid w:val="00AB2D65"/>
    <w:rsid w:val="00AB3070"/>
    <w:rsid w:val="00AB332D"/>
    <w:rsid w:val="00AB4298"/>
    <w:rsid w:val="00AB4717"/>
    <w:rsid w:val="00AB5BE2"/>
    <w:rsid w:val="00AB66C2"/>
    <w:rsid w:val="00AC0DE3"/>
    <w:rsid w:val="00AC1A38"/>
    <w:rsid w:val="00AC213D"/>
    <w:rsid w:val="00AC30FC"/>
    <w:rsid w:val="00AC3112"/>
    <w:rsid w:val="00AC3D41"/>
    <w:rsid w:val="00AC4681"/>
    <w:rsid w:val="00AC504A"/>
    <w:rsid w:val="00AC580E"/>
    <w:rsid w:val="00AC61AC"/>
    <w:rsid w:val="00AD0AEE"/>
    <w:rsid w:val="00AD205A"/>
    <w:rsid w:val="00AD3A84"/>
    <w:rsid w:val="00AD3BB8"/>
    <w:rsid w:val="00AD406B"/>
    <w:rsid w:val="00AD4B62"/>
    <w:rsid w:val="00AD728A"/>
    <w:rsid w:val="00AD7672"/>
    <w:rsid w:val="00AD79AD"/>
    <w:rsid w:val="00AE05C6"/>
    <w:rsid w:val="00AE0E79"/>
    <w:rsid w:val="00AE1091"/>
    <w:rsid w:val="00AE1FCE"/>
    <w:rsid w:val="00AE46CB"/>
    <w:rsid w:val="00AE4A6D"/>
    <w:rsid w:val="00AE53E6"/>
    <w:rsid w:val="00AE5D44"/>
    <w:rsid w:val="00AE5F89"/>
    <w:rsid w:val="00AE6240"/>
    <w:rsid w:val="00AE737B"/>
    <w:rsid w:val="00AF05E5"/>
    <w:rsid w:val="00AF13FD"/>
    <w:rsid w:val="00AF2E57"/>
    <w:rsid w:val="00AF2FFE"/>
    <w:rsid w:val="00AF387B"/>
    <w:rsid w:val="00AF4469"/>
    <w:rsid w:val="00AF525A"/>
    <w:rsid w:val="00AF565A"/>
    <w:rsid w:val="00AF5844"/>
    <w:rsid w:val="00AF75E8"/>
    <w:rsid w:val="00AF7A07"/>
    <w:rsid w:val="00B00455"/>
    <w:rsid w:val="00B00917"/>
    <w:rsid w:val="00B0111E"/>
    <w:rsid w:val="00B017E8"/>
    <w:rsid w:val="00B02F36"/>
    <w:rsid w:val="00B0373C"/>
    <w:rsid w:val="00B04F69"/>
    <w:rsid w:val="00B072AF"/>
    <w:rsid w:val="00B073A9"/>
    <w:rsid w:val="00B0782C"/>
    <w:rsid w:val="00B107FB"/>
    <w:rsid w:val="00B11998"/>
    <w:rsid w:val="00B1295B"/>
    <w:rsid w:val="00B12E48"/>
    <w:rsid w:val="00B13519"/>
    <w:rsid w:val="00B13CE1"/>
    <w:rsid w:val="00B14062"/>
    <w:rsid w:val="00B16A8A"/>
    <w:rsid w:val="00B20F75"/>
    <w:rsid w:val="00B22B7C"/>
    <w:rsid w:val="00B24146"/>
    <w:rsid w:val="00B241F2"/>
    <w:rsid w:val="00B24B53"/>
    <w:rsid w:val="00B24FE2"/>
    <w:rsid w:val="00B25974"/>
    <w:rsid w:val="00B26013"/>
    <w:rsid w:val="00B300E3"/>
    <w:rsid w:val="00B306C5"/>
    <w:rsid w:val="00B32D66"/>
    <w:rsid w:val="00B33BE3"/>
    <w:rsid w:val="00B34615"/>
    <w:rsid w:val="00B3484A"/>
    <w:rsid w:val="00B34A89"/>
    <w:rsid w:val="00B37462"/>
    <w:rsid w:val="00B378EF"/>
    <w:rsid w:val="00B40B06"/>
    <w:rsid w:val="00B41124"/>
    <w:rsid w:val="00B426E2"/>
    <w:rsid w:val="00B42F0F"/>
    <w:rsid w:val="00B46674"/>
    <w:rsid w:val="00B469B7"/>
    <w:rsid w:val="00B46F0E"/>
    <w:rsid w:val="00B47CEF"/>
    <w:rsid w:val="00B502E7"/>
    <w:rsid w:val="00B51384"/>
    <w:rsid w:val="00B513F4"/>
    <w:rsid w:val="00B52CAD"/>
    <w:rsid w:val="00B541D7"/>
    <w:rsid w:val="00B54D7A"/>
    <w:rsid w:val="00B5585C"/>
    <w:rsid w:val="00B57B2D"/>
    <w:rsid w:val="00B57CD6"/>
    <w:rsid w:val="00B57D7C"/>
    <w:rsid w:val="00B57E4D"/>
    <w:rsid w:val="00B604F2"/>
    <w:rsid w:val="00B61C85"/>
    <w:rsid w:val="00B61E34"/>
    <w:rsid w:val="00B61EEE"/>
    <w:rsid w:val="00B63369"/>
    <w:rsid w:val="00B636B6"/>
    <w:rsid w:val="00B639D9"/>
    <w:rsid w:val="00B64133"/>
    <w:rsid w:val="00B641B0"/>
    <w:rsid w:val="00B658B9"/>
    <w:rsid w:val="00B65BC6"/>
    <w:rsid w:val="00B65F3E"/>
    <w:rsid w:val="00B670FA"/>
    <w:rsid w:val="00B70F45"/>
    <w:rsid w:val="00B7205F"/>
    <w:rsid w:val="00B722CB"/>
    <w:rsid w:val="00B73756"/>
    <w:rsid w:val="00B73CA7"/>
    <w:rsid w:val="00B74840"/>
    <w:rsid w:val="00B74971"/>
    <w:rsid w:val="00B74C4F"/>
    <w:rsid w:val="00B76B45"/>
    <w:rsid w:val="00B778A3"/>
    <w:rsid w:val="00B77C36"/>
    <w:rsid w:val="00B77F5C"/>
    <w:rsid w:val="00B82A0F"/>
    <w:rsid w:val="00B82D50"/>
    <w:rsid w:val="00B8442E"/>
    <w:rsid w:val="00B8465D"/>
    <w:rsid w:val="00B848D9"/>
    <w:rsid w:val="00B85408"/>
    <w:rsid w:val="00B85779"/>
    <w:rsid w:val="00B86A26"/>
    <w:rsid w:val="00B86C0B"/>
    <w:rsid w:val="00B9023A"/>
    <w:rsid w:val="00B91A30"/>
    <w:rsid w:val="00B91BF0"/>
    <w:rsid w:val="00B922EC"/>
    <w:rsid w:val="00B934B8"/>
    <w:rsid w:val="00B945F0"/>
    <w:rsid w:val="00B95F82"/>
    <w:rsid w:val="00B97556"/>
    <w:rsid w:val="00BA0D39"/>
    <w:rsid w:val="00BA1438"/>
    <w:rsid w:val="00BA3486"/>
    <w:rsid w:val="00BA4A6F"/>
    <w:rsid w:val="00BA4E8F"/>
    <w:rsid w:val="00BA5540"/>
    <w:rsid w:val="00BA6F67"/>
    <w:rsid w:val="00BA7751"/>
    <w:rsid w:val="00BB06BA"/>
    <w:rsid w:val="00BB0F73"/>
    <w:rsid w:val="00BB60CA"/>
    <w:rsid w:val="00BB74AD"/>
    <w:rsid w:val="00BC035F"/>
    <w:rsid w:val="00BC3B0C"/>
    <w:rsid w:val="00BC3BDE"/>
    <w:rsid w:val="00BC4D20"/>
    <w:rsid w:val="00BC7D28"/>
    <w:rsid w:val="00BD08E5"/>
    <w:rsid w:val="00BD1702"/>
    <w:rsid w:val="00BD18FA"/>
    <w:rsid w:val="00BD1B1C"/>
    <w:rsid w:val="00BD22AA"/>
    <w:rsid w:val="00BD4755"/>
    <w:rsid w:val="00BD490F"/>
    <w:rsid w:val="00BD53C3"/>
    <w:rsid w:val="00BD5628"/>
    <w:rsid w:val="00BD6777"/>
    <w:rsid w:val="00BE0298"/>
    <w:rsid w:val="00BE0F4E"/>
    <w:rsid w:val="00BE1F3E"/>
    <w:rsid w:val="00BE2098"/>
    <w:rsid w:val="00BE2617"/>
    <w:rsid w:val="00BE3294"/>
    <w:rsid w:val="00BE4371"/>
    <w:rsid w:val="00BE4975"/>
    <w:rsid w:val="00BE60B3"/>
    <w:rsid w:val="00BE728C"/>
    <w:rsid w:val="00BF1172"/>
    <w:rsid w:val="00BF4263"/>
    <w:rsid w:val="00BF43DE"/>
    <w:rsid w:val="00BF65C8"/>
    <w:rsid w:val="00BF6DB1"/>
    <w:rsid w:val="00C0195E"/>
    <w:rsid w:val="00C026CC"/>
    <w:rsid w:val="00C032F5"/>
    <w:rsid w:val="00C038BE"/>
    <w:rsid w:val="00C04445"/>
    <w:rsid w:val="00C0475C"/>
    <w:rsid w:val="00C04C09"/>
    <w:rsid w:val="00C06B84"/>
    <w:rsid w:val="00C07030"/>
    <w:rsid w:val="00C10C35"/>
    <w:rsid w:val="00C10F2E"/>
    <w:rsid w:val="00C11EDD"/>
    <w:rsid w:val="00C11F7F"/>
    <w:rsid w:val="00C126C1"/>
    <w:rsid w:val="00C1415C"/>
    <w:rsid w:val="00C14AA4"/>
    <w:rsid w:val="00C14B47"/>
    <w:rsid w:val="00C164B9"/>
    <w:rsid w:val="00C17080"/>
    <w:rsid w:val="00C215E9"/>
    <w:rsid w:val="00C22DFE"/>
    <w:rsid w:val="00C246DB"/>
    <w:rsid w:val="00C2520C"/>
    <w:rsid w:val="00C255BD"/>
    <w:rsid w:val="00C255EF"/>
    <w:rsid w:val="00C25D23"/>
    <w:rsid w:val="00C25FF1"/>
    <w:rsid w:val="00C26892"/>
    <w:rsid w:val="00C27B6F"/>
    <w:rsid w:val="00C27B7C"/>
    <w:rsid w:val="00C32F25"/>
    <w:rsid w:val="00C36C19"/>
    <w:rsid w:val="00C374BB"/>
    <w:rsid w:val="00C3791C"/>
    <w:rsid w:val="00C408DF"/>
    <w:rsid w:val="00C41146"/>
    <w:rsid w:val="00C431C8"/>
    <w:rsid w:val="00C43BE2"/>
    <w:rsid w:val="00C4539A"/>
    <w:rsid w:val="00C45DDD"/>
    <w:rsid w:val="00C477AA"/>
    <w:rsid w:val="00C47A0F"/>
    <w:rsid w:val="00C47AB5"/>
    <w:rsid w:val="00C50482"/>
    <w:rsid w:val="00C505FC"/>
    <w:rsid w:val="00C50C2C"/>
    <w:rsid w:val="00C50DD1"/>
    <w:rsid w:val="00C5281E"/>
    <w:rsid w:val="00C53D4B"/>
    <w:rsid w:val="00C542D1"/>
    <w:rsid w:val="00C54CBF"/>
    <w:rsid w:val="00C550C9"/>
    <w:rsid w:val="00C552BE"/>
    <w:rsid w:val="00C55F0F"/>
    <w:rsid w:val="00C56192"/>
    <w:rsid w:val="00C5681B"/>
    <w:rsid w:val="00C5771C"/>
    <w:rsid w:val="00C5789C"/>
    <w:rsid w:val="00C609A9"/>
    <w:rsid w:val="00C610D8"/>
    <w:rsid w:val="00C611E9"/>
    <w:rsid w:val="00C61B91"/>
    <w:rsid w:val="00C62364"/>
    <w:rsid w:val="00C62AF1"/>
    <w:rsid w:val="00C6403C"/>
    <w:rsid w:val="00C642FF"/>
    <w:rsid w:val="00C646E9"/>
    <w:rsid w:val="00C65128"/>
    <w:rsid w:val="00C6642F"/>
    <w:rsid w:val="00C668FB"/>
    <w:rsid w:val="00C66E00"/>
    <w:rsid w:val="00C674DD"/>
    <w:rsid w:val="00C7126C"/>
    <w:rsid w:val="00C72423"/>
    <w:rsid w:val="00C7249A"/>
    <w:rsid w:val="00C72752"/>
    <w:rsid w:val="00C72C65"/>
    <w:rsid w:val="00C732BD"/>
    <w:rsid w:val="00C739EA"/>
    <w:rsid w:val="00C74058"/>
    <w:rsid w:val="00C74417"/>
    <w:rsid w:val="00C763AE"/>
    <w:rsid w:val="00C763C9"/>
    <w:rsid w:val="00C764B5"/>
    <w:rsid w:val="00C81673"/>
    <w:rsid w:val="00C81792"/>
    <w:rsid w:val="00C81842"/>
    <w:rsid w:val="00C81AE3"/>
    <w:rsid w:val="00C82AD0"/>
    <w:rsid w:val="00C8375E"/>
    <w:rsid w:val="00C83DFE"/>
    <w:rsid w:val="00C8429D"/>
    <w:rsid w:val="00C84B1F"/>
    <w:rsid w:val="00C84C8E"/>
    <w:rsid w:val="00C84D27"/>
    <w:rsid w:val="00C85692"/>
    <w:rsid w:val="00C861C3"/>
    <w:rsid w:val="00C86A5D"/>
    <w:rsid w:val="00C90025"/>
    <w:rsid w:val="00C909E8"/>
    <w:rsid w:val="00C90A57"/>
    <w:rsid w:val="00C92290"/>
    <w:rsid w:val="00C93B53"/>
    <w:rsid w:val="00C94354"/>
    <w:rsid w:val="00C96018"/>
    <w:rsid w:val="00C960A5"/>
    <w:rsid w:val="00C9638B"/>
    <w:rsid w:val="00C965E2"/>
    <w:rsid w:val="00C974EF"/>
    <w:rsid w:val="00C97BDE"/>
    <w:rsid w:val="00C97F85"/>
    <w:rsid w:val="00CA006C"/>
    <w:rsid w:val="00CA02F1"/>
    <w:rsid w:val="00CA0ABB"/>
    <w:rsid w:val="00CA0C8E"/>
    <w:rsid w:val="00CA3BEE"/>
    <w:rsid w:val="00CA48ED"/>
    <w:rsid w:val="00CA4B1F"/>
    <w:rsid w:val="00CA6C59"/>
    <w:rsid w:val="00CA7C8F"/>
    <w:rsid w:val="00CB0E43"/>
    <w:rsid w:val="00CB0E62"/>
    <w:rsid w:val="00CB17B3"/>
    <w:rsid w:val="00CB2863"/>
    <w:rsid w:val="00CB3DF0"/>
    <w:rsid w:val="00CB44FA"/>
    <w:rsid w:val="00CB4BA9"/>
    <w:rsid w:val="00CB5198"/>
    <w:rsid w:val="00CC0839"/>
    <w:rsid w:val="00CC124D"/>
    <w:rsid w:val="00CC2DBE"/>
    <w:rsid w:val="00CC32A2"/>
    <w:rsid w:val="00CC4B4D"/>
    <w:rsid w:val="00CC517C"/>
    <w:rsid w:val="00CC52A2"/>
    <w:rsid w:val="00CC706A"/>
    <w:rsid w:val="00CC723A"/>
    <w:rsid w:val="00CD1552"/>
    <w:rsid w:val="00CD177F"/>
    <w:rsid w:val="00CD19D7"/>
    <w:rsid w:val="00CD3079"/>
    <w:rsid w:val="00CD373F"/>
    <w:rsid w:val="00CD49AE"/>
    <w:rsid w:val="00CD4FF9"/>
    <w:rsid w:val="00CD5079"/>
    <w:rsid w:val="00CD5E7E"/>
    <w:rsid w:val="00CD6335"/>
    <w:rsid w:val="00CD68FC"/>
    <w:rsid w:val="00CE3E4E"/>
    <w:rsid w:val="00CE5738"/>
    <w:rsid w:val="00CE6367"/>
    <w:rsid w:val="00CE7CFA"/>
    <w:rsid w:val="00CF01DB"/>
    <w:rsid w:val="00CF103A"/>
    <w:rsid w:val="00CF2714"/>
    <w:rsid w:val="00CF2ABA"/>
    <w:rsid w:val="00CF564B"/>
    <w:rsid w:val="00CF5E27"/>
    <w:rsid w:val="00D00067"/>
    <w:rsid w:val="00D0023E"/>
    <w:rsid w:val="00D00D5C"/>
    <w:rsid w:val="00D0115A"/>
    <w:rsid w:val="00D02600"/>
    <w:rsid w:val="00D02E4F"/>
    <w:rsid w:val="00D03579"/>
    <w:rsid w:val="00D03D38"/>
    <w:rsid w:val="00D03EFD"/>
    <w:rsid w:val="00D04CDB"/>
    <w:rsid w:val="00D0606C"/>
    <w:rsid w:val="00D06278"/>
    <w:rsid w:val="00D06FDC"/>
    <w:rsid w:val="00D07C95"/>
    <w:rsid w:val="00D124BB"/>
    <w:rsid w:val="00D12764"/>
    <w:rsid w:val="00D20C48"/>
    <w:rsid w:val="00D22691"/>
    <w:rsid w:val="00D22709"/>
    <w:rsid w:val="00D2325B"/>
    <w:rsid w:val="00D24595"/>
    <w:rsid w:val="00D25114"/>
    <w:rsid w:val="00D27134"/>
    <w:rsid w:val="00D27653"/>
    <w:rsid w:val="00D2786B"/>
    <w:rsid w:val="00D30590"/>
    <w:rsid w:val="00D313C7"/>
    <w:rsid w:val="00D326EA"/>
    <w:rsid w:val="00D33082"/>
    <w:rsid w:val="00D33C2F"/>
    <w:rsid w:val="00D350E7"/>
    <w:rsid w:val="00D36B20"/>
    <w:rsid w:val="00D36D4C"/>
    <w:rsid w:val="00D37542"/>
    <w:rsid w:val="00D37B46"/>
    <w:rsid w:val="00D4021C"/>
    <w:rsid w:val="00D40446"/>
    <w:rsid w:val="00D42511"/>
    <w:rsid w:val="00D43599"/>
    <w:rsid w:val="00D438C3"/>
    <w:rsid w:val="00D43E89"/>
    <w:rsid w:val="00D456BA"/>
    <w:rsid w:val="00D47054"/>
    <w:rsid w:val="00D4714A"/>
    <w:rsid w:val="00D477F4"/>
    <w:rsid w:val="00D52211"/>
    <w:rsid w:val="00D5304F"/>
    <w:rsid w:val="00D551BD"/>
    <w:rsid w:val="00D56694"/>
    <w:rsid w:val="00D57038"/>
    <w:rsid w:val="00D60CCA"/>
    <w:rsid w:val="00D6178B"/>
    <w:rsid w:val="00D62319"/>
    <w:rsid w:val="00D62722"/>
    <w:rsid w:val="00D62D22"/>
    <w:rsid w:val="00D63091"/>
    <w:rsid w:val="00D6338B"/>
    <w:rsid w:val="00D6395C"/>
    <w:rsid w:val="00D64713"/>
    <w:rsid w:val="00D64D6A"/>
    <w:rsid w:val="00D66368"/>
    <w:rsid w:val="00D666B1"/>
    <w:rsid w:val="00D70AB9"/>
    <w:rsid w:val="00D72344"/>
    <w:rsid w:val="00D72C15"/>
    <w:rsid w:val="00D72E44"/>
    <w:rsid w:val="00D734C8"/>
    <w:rsid w:val="00D73A07"/>
    <w:rsid w:val="00D74192"/>
    <w:rsid w:val="00D743EB"/>
    <w:rsid w:val="00D74E15"/>
    <w:rsid w:val="00D74FAC"/>
    <w:rsid w:val="00D76299"/>
    <w:rsid w:val="00D76787"/>
    <w:rsid w:val="00D767DE"/>
    <w:rsid w:val="00D7789E"/>
    <w:rsid w:val="00D800F2"/>
    <w:rsid w:val="00D80E96"/>
    <w:rsid w:val="00D8146C"/>
    <w:rsid w:val="00D851A3"/>
    <w:rsid w:val="00D87585"/>
    <w:rsid w:val="00D8792F"/>
    <w:rsid w:val="00D907E0"/>
    <w:rsid w:val="00D90A84"/>
    <w:rsid w:val="00D90CC7"/>
    <w:rsid w:val="00D92C34"/>
    <w:rsid w:val="00D9380A"/>
    <w:rsid w:val="00D93DDE"/>
    <w:rsid w:val="00D94348"/>
    <w:rsid w:val="00D9650E"/>
    <w:rsid w:val="00D970A1"/>
    <w:rsid w:val="00D97ACC"/>
    <w:rsid w:val="00D97D79"/>
    <w:rsid w:val="00DA0B7B"/>
    <w:rsid w:val="00DA0C17"/>
    <w:rsid w:val="00DA133C"/>
    <w:rsid w:val="00DA153F"/>
    <w:rsid w:val="00DA16B5"/>
    <w:rsid w:val="00DA2639"/>
    <w:rsid w:val="00DA2C85"/>
    <w:rsid w:val="00DA370C"/>
    <w:rsid w:val="00DA37E8"/>
    <w:rsid w:val="00DA3DEB"/>
    <w:rsid w:val="00DA4BCE"/>
    <w:rsid w:val="00DA4C75"/>
    <w:rsid w:val="00DA5284"/>
    <w:rsid w:val="00DA5B76"/>
    <w:rsid w:val="00DA6F3D"/>
    <w:rsid w:val="00DB1522"/>
    <w:rsid w:val="00DB1B69"/>
    <w:rsid w:val="00DB22AC"/>
    <w:rsid w:val="00DB425B"/>
    <w:rsid w:val="00DB54A3"/>
    <w:rsid w:val="00DB61F0"/>
    <w:rsid w:val="00DB7DC4"/>
    <w:rsid w:val="00DC0683"/>
    <w:rsid w:val="00DC324B"/>
    <w:rsid w:val="00DC4DC7"/>
    <w:rsid w:val="00DC5C04"/>
    <w:rsid w:val="00DC62BE"/>
    <w:rsid w:val="00DD0BDE"/>
    <w:rsid w:val="00DD1FFF"/>
    <w:rsid w:val="00DD2213"/>
    <w:rsid w:val="00DD27A5"/>
    <w:rsid w:val="00DD28C3"/>
    <w:rsid w:val="00DD28DB"/>
    <w:rsid w:val="00DD2911"/>
    <w:rsid w:val="00DD3723"/>
    <w:rsid w:val="00DD3A4F"/>
    <w:rsid w:val="00DD3BFF"/>
    <w:rsid w:val="00DD4ABD"/>
    <w:rsid w:val="00DD7DF0"/>
    <w:rsid w:val="00DE00DA"/>
    <w:rsid w:val="00DE0200"/>
    <w:rsid w:val="00DE118C"/>
    <w:rsid w:val="00DE254D"/>
    <w:rsid w:val="00DE2AA2"/>
    <w:rsid w:val="00DE2CDD"/>
    <w:rsid w:val="00DE4F07"/>
    <w:rsid w:val="00DE5129"/>
    <w:rsid w:val="00DE563D"/>
    <w:rsid w:val="00DE61AA"/>
    <w:rsid w:val="00DE6A64"/>
    <w:rsid w:val="00DE730A"/>
    <w:rsid w:val="00DE7F4E"/>
    <w:rsid w:val="00DF093F"/>
    <w:rsid w:val="00DF2B63"/>
    <w:rsid w:val="00DF583F"/>
    <w:rsid w:val="00DF5B98"/>
    <w:rsid w:val="00DF6AD2"/>
    <w:rsid w:val="00DF6FE9"/>
    <w:rsid w:val="00DF7DE1"/>
    <w:rsid w:val="00DF7E6E"/>
    <w:rsid w:val="00E00B5C"/>
    <w:rsid w:val="00E0107F"/>
    <w:rsid w:val="00E0195E"/>
    <w:rsid w:val="00E037A6"/>
    <w:rsid w:val="00E05780"/>
    <w:rsid w:val="00E0611F"/>
    <w:rsid w:val="00E06CF2"/>
    <w:rsid w:val="00E07D54"/>
    <w:rsid w:val="00E10848"/>
    <w:rsid w:val="00E11CA3"/>
    <w:rsid w:val="00E11D01"/>
    <w:rsid w:val="00E11D65"/>
    <w:rsid w:val="00E11E3B"/>
    <w:rsid w:val="00E11E9F"/>
    <w:rsid w:val="00E12262"/>
    <w:rsid w:val="00E130CA"/>
    <w:rsid w:val="00E138B8"/>
    <w:rsid w:val="00E138E3"/>
    <w:rsid w:val="00E14803"/>
    <w:rsid w:val="00E14CE6"/>
    <w:rsid w:val="00E15AC1"/>
    <w:rsid w:val="00E16DD5"/>
    <w:rsid w:val="00E2184E"/>
    <w:rsid w:val="00E23321"/>
    <w:rsid w:val="00E233A1"/>
    <w:rsid w:val="00E257A6"/>
    <w:rsid w:val="00E25D7B"/>
    <w:rsid w:val="00E26D1F"/>
    <w:rsid w:val="00E30468"/>
    <w:rsid w:val="00E30EFF"/>
    <w:rsid w:val="00E31DAA"/>
    <w:rsid w:val="00E31ED1"/>
    <w:rsid w:val="00E31EF0"/>
    <w:rsid w:val="00E32323"/>
    <w:rsid w:val="00E341A6"/>
    <w:rsid w:val="00E3443A"/>
    <w:rsid w:val="00E346EB"/>
    <w:rsid w:val="00E34A35"/>
    <w:rsid w:val="00E34E69"/>
    <w:rsid w:val="00E34F05"/>
    <w:rsid w:val="00E353FB"/>
    <w:rsid w:val="00E35558"/>
    <w:rsid w:val="00E368C5"/>
    <w:rsid w:val="00E36A8A"/>
    <w:rsid w:val="00E3703F"/>
    <w:rsid w:val="00E377D6"/>
    <w:rsid w:val="00E37CC6"/>
    <w:rsid w:val="00E417CD"/>
    <w:rsid w:val="00E41EB9"/>
    <w:rsid w:val="00E428BD"/>
    <w:rsid w:val="00E45557"/>
    <w:rsid w:val="00E4583D"/>
    <w:rsid w:val="00E45958"/>
    <w:rsid w:val="00E4598D"/>
    <w:rsid w:val="00E46230"/>
    <w:rsid w:val="00E47704"/>
    <w:rsid w:val="00E47A9B"/>
    <w:rsid w:val="00E511B7"/>
    <w:rsid w:val="00E5189C"/>
    <w:rsid w:val="00E52DDE"/>
    <w:rsid w:val="00E56DD1"/>
    <w:rsid w:val="00E570FA"/>
    <w:rsid w:val="00E61412"/>
    <w:rsid w:val="00E617ED"/>
    <w:rsid w:val="00E61D7D"/>
    <w:rsid w:val="00E62BE0"/>
    <w:rsid w:val="00E62C29"/>
    <w:rsid w:val="00E633F6"/>
    <w:rsid w:val="00E635A4"/>
    <w:rsid w:val="00E646DE"/>
    <w:rsid w:val="00E65D4F"/>
    <w:rsid w:val="00E6663F"/>
    <w:rsid w:val="00E673F9"/>
    <w:rsid w:val="00E67F9C"/>
    <w:rsid w:val="00E7275C"/>
    <w:rsid w:val="00E748CA"/>
    <w:rsid w:val="00E74BD8"/>
    <w:rsid w:val="00E75736"/>
    <w:rsid w:val="00E757B7"/>
    <w:rsid w:val="00E82172"/>
    <w:rsid w:val="00E825FF"/>
    <w:rsid w:val="00E84529"/>
    <w:rsid w:val="00E84A75"/>
    <w:rsid w:val="00E85136"/>
    <w:rsid w:val="00E851DC"/>
    <w:rsid w:val="00E87A69"/>
    <w:rsid w:val="00E92D29"/>
    <w:rsid w:val="00E93ACE"/>
    <w:rsid w:val="00E93CE8"/>
    <w:rsid w:val="00E93FC4"/>
    <w:rsid w:val="00E95757"/>
    <w:rsid w:val="00E96ABB"/>
    <w:rsid w:val="00E96F1D"/>
    <w:rsid w:val="00E97013"/>
    <w:rsid w:val="00EA00C5"/>
    <w:rsid w:val="00EA0341"/>
    <w:rsid w:val="00EA084E"/>
    <w:rsid w:val="00EA2837"/>
    <w:rsid w:val="00EA2ED6"/>
    <w:rsid w:val="00EA3707"/>
    <w:rsid w:val="00EA4506"/>
    <w:rsid w:val="00EA6072"/>
    <w:rsid w:val="00EB04B7"/>
    <w:rsid w:val="00EB11CC"/>
    <w:rsid w:val="00EB1228"/>
    <w:rsid w:val="00EB15DB"/>
    <w:rsid w:val="00EB221B"/>
    <w:rsid w:val="00EB2379"/>
    <w:rsid w:val="00EB29D4"/>
    <w:rsid w:val="00EB3F24"/>
    <w:rsid w:val="00EB4B9D"/>
    <w:rsid w:val="00EB5110"/>
    <w:rsid w:val="00EB6804"/>
    <w:rsid w:val="00EB6B1D"/>
    <w:rsid w:val="00EB7337"/>
    <w:rsid w:val="00EC0F6D"/>
    <w:rsid w:val="00EC1F48"/>
    <w:rsid w:val="00EC2187"/>
    <w:rsid w:val="00EC2242"/>
    <w:rsid w:val="00EC2CC4"/>
    <w:rsid w:val="00EC5B65"/>
    <w:rsid w:val="00EC66B8"/>
    <w:rsid w:val="00EC71D7"/>
    <w:rsid w:val="00EC756F"/>
    <w:rsid w:val="00ED022A"/>
    <w:rsid w:val="00ED0396"/>
    <w:rsid w:val="00ED28B0"/>
    <w:rsid w:val="00ED711A"/>
    <w:rsid w:val="00EE000F"/>
    <w:rsid w:val="00EE092F"/>
    <w:rsid w:val="00EE1482"/>
    <w:rsid w:val="00EE192D"/>
    <w:rsid w:val="00EE1EE3"/>
    <w:rsid w:val="00EE1F07"/>
    <w:rsid w:val="00EE34D6"/>
    <w:rsid w:val="00EE444F"/>
    <w:rsid w:val="00EE5B54"/>
    <w:rsid w:val="00EE696F"/>
    <w:rsid w:val="00EE6C88"/>
    <w:rsid w:val="00EE7E47"/>
    <w:rsid w:val="00EF33F5"/>
    <w:rsid w:val="00EF3BD3"/>
    <w:rsid w:val="00EF4AD6"/>
    <w:rsid w:val="00EF4F64"/>
    <w:rsid w:val="00EF52FD"/>
    <w:rsid w:val="00EF59D8"/>
    <w:rsid w:val="00EF640B"/>
    <w:rsid w:val="00EF7E99"/>
    <w:rsid w:val="00F0013A"/>
    <w:rsid w:val="00F00492"/>
    <w:rsid w:val="00F00A02"/>
    <w:rsid w:val="00F01044"/>
    <w:rsid w:val="00F01770"/>
    <w:rsid w:val="00F01B37"/>
    <w:rsid w:val="00F02275"/>
    <w:rsid w:val="00F027B6"/>
    <w:rsid w:val="00F02B1F"/>
    <w:rsid w:val="00F03630"/>
    <w:rsid w:val="00F03D24"/>
    <w:rsid w:val="00F041E8"/>
    <w:rsid w:val="00F05D00"/>
    <w:rsid w:val="00F067DD"/>
    <w:rsid w:val="00F06BC4"/>
    <w:rsid w:val="00F06CCB"/>
    <w:rsid w:val="00F07CAC"/>
    <w:rsid w:val="00F109D5"/>
    <w:rsid w:val="00F10D92"/>
    <w:rsid w:val="00F12962"/>
    <w:rsid w:val="00F12A71"/>
    <w:rsid w:val="00F146AC"/>
    <w:rsid w:val="00F153EE"/>
    <w:rsid w:val="00F1602C"/>
    <w:rsid w:val="00F16170"/>
    <w:rsid w:val="00F16426"/>
    <w:rsid w:val="00F166EA"/>
    <w:rsid w:val="00F16DF8"/>
    <w:rsid w:val="00F17AD9"/>
    <w:rsid w:val="00F21F96"/>
    <w:rsid w:val="00F2233B"/>
    <w:rsid w:val="00F22F01"/>
    <w:rsid w:val="00F253F6"/>
    <w:rsid w:val="00F26169"/>
    <w:rsid w:val="00F26998"/>
    <w:rsid w:val="00F26A7A"/>
    <w:rsid w:val="00F26FAB"/>
    <w:rsid w:val="00F27B70"/>
    <w:rsid w:val="00F27D5B"/>
    <w:rsid w:val="00F32E8B"/>
    <w:rsid w:val="00F33F0F"/>
    <w:rsid w:val="00F35225"/>
    <w:rsid w:val="00F374ED"/>
    <w:rsid w:val="00F37931"/>
    <w:rsid w:val="00F37933"/>
    <w:rsid w:val="00F40271"/>
    <w:rsid w:val="00F40527"/>
    <w:rsid w:val="00F41141"/>
    <w:rsid w:val="00F420C2"/>
    <w:rsid w:val="00F46254"/>
    <w:rsid w:val="00F46503"/>
    <w:rsid w:val="00F46ACF"/>
    <w:rsid w:val="00F46B40"/>
    <w:rsid w:val="00F475DB"/>
    <w:rsid w:val="00F503A0"/>
    <w:rsid w:val="00F521A3"/>
    <w:rsid w:val="00F52847"/>
    <w:rsid w:val="00F54574"/>
    <w:rsid w:val="00F54A85"/>
    <w:rsid w:val="00F55CC8"/>
    <w:rsid w:val="00F6017F"/>
    <w:rsid w:val="00F612BD"/>
    <w:rsid w:val="00F64278"/>
    <w:rsid w:val="00F655DC"/>
    <w:rsid w:val="00F70094"/>
    <w:rsid w:val="00F70E34"/>
    <w:rsid w:val="00F73B01"/>
    <w:rsid w:val="00F748D7"/>
    <w:rsid w:val="00F76BD1"/>
    <w:rsid w:val="00F76C08"/>
    <w:rsid w:val="00F77950"/>
    <w:rsid w:val="00F80618"/>
    <w:rsid w:val="00F81969"/>
    <w:rsid w:val="00F82461"/>
    <w:rsid w:val="00F82668"/>
    <w:rsid w:val="00F84C7A"/>
    <w:rsid w:val="00F85E6E"/>
    <w:rsid w:val="00F86375"/>
    <w:rsid w:val="00F90ED3"/>
    <w:rsid w:val="00F91170"/>
    <w:rsid w:val="00F91C53"/>
    <w:rsid w:val="00F9273E"/>
    <w:rsid w:val="00F9335A"/>
    <w:rsid w:val="00F95C97"/>
    <w:rsid w:val="00F96244"/>
    <w:rsid w:val="00F970AA"/>
    <w:rsid w:val="00F975EA"/>
    <w:rsid w:val="00FA2E9E"/>
    <w:rsid w:val="00FA32CA"/>
    <w:rsid w:val="00FA3509"/>
    <w:rsid w:val="00FA426A"/>
    <w:rsid w:val="00FA59B4"/>
    <w:rsid w:val="00FA5CAC"/>
    <w:rsid w:val="00FA6F4A"/>
    <w:rsid w:val="00FA7895"/>
    <w:rsid w:val="00FA78A1"/>
    <w:rsid w:val="00FB0000"/>
    <w:rsid w:val="00FB0315"/>
    <w:rsid w:val="00FB04A0"/>
    <w:rsid w:val="00FB2068"/>
    <w:rsid w:val="00FB308E"/>
    <w:rsid w:val="00FB4192"/>
    <w:rsid w:val="00FB4304"/>
    <w:rsid w:val="00FB459A"/>
    <w:rsid w:val="00FB5BCF"/>
    <w:rsid w:val="00FB5C3B"/>
    <w:rsid w:val="00FB5F07"/>
    <w:rsid w:val="00FC0827"/>
    <w:rsid w:val="00FC0A54"/>
    <w:rsid w:val="00FC2B10"/>
    <w:rsid w:val="00FC3654"/>
    <w:rsid w:val="00FC4DBC"/>
    <w:rsid w:val="00FC4E95"/>
    <w:rsid w:val="00FC5DA2"/>
    <w:rsid w:val="00FC602F"/>
    <w:rsid w:val="00FC7294"/>
    <w:rsid w:val="00FC7493"/>
    <w:rsid w:val="00FC7C6E"/>
    <w:rsid w:val="00FD0AF9"/>
    <w:rsid w:val="00FD0BC2"/>
    <w:rsid w:val="00FD1020"/>
    <w:rsid w:val="00FD16C2"/>
    <w:rsid w:val="00FD1CE7"/>
    <w:rsid w:val="00FD2A2D"/>
    <w:rsid w:val="00FD3344"/>
    <w:rsid w:val="00FD3474"/>
    <w:rsid w:val="00FD3625"/>
    <w:rsid w:val="00FD54F6"/>
    <w:rsid w:val="00FD5ACC"/>
    <w:rsid w:val="00FD5DFD"/>
    <w:rsid w:val="00FD7452"/>
    <w:rsid w:val="00FE018D"/>
    <w:rsid w:val="00FE0785"/>
    <w:rsid w:val="00FE20EE"/>
    <w:rsid w:val="00FE2974"/>
    <w:rsid w:val="00FE3073"/>
    <w:rsid w:val="00FE4552"/>
    <w:rsid w:val="00FE4CA3"/>
    <w:rsid w:val="00FE618B"/>
    <w:rsid w:val="00FE7B33"/>
    <w:rsid w:val="00FE7BD7"/>
    <w:rsid w:val="00FF0E7A"/>
    <w:rsid w:val="00FF172A"/>
    <w:rsid w:val="00FF1F7D"/>
    <w:rsid w:val="00FF2248"/>
    <w:rsid w:val="00FF339A"/>
    <w:rsid w:val="00FF43B6"/>
    <w:rsid w:val="00FF4614"/>
    <w:rsid w:val="00FF62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6D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51A"/>
    <w:rPr>
      <w:sz w:val="24"/>
      <w:szCs w:val="24"/>
    </w:rPr>
  </w:style>
  <w:style w:type="paragraph" w:styleId="Nadpis1">
    <w:name w:val="heading 1"/>
    <w:basedOn w:val="Normln"/>
    <w:next w:val="Normln"/>
    <w:qFormat/>
    <w:rsid w:val="00CD49AE"/>
    <w:pPr>
      <w:keepNext/>
      <w:overflowPunct w:val="0"/>
      <w:autoSpaceDE w:val="0"/>
      <w:autoSpaceDN w:val="0"/>
      <w:adjustRightInd w:val="0"/>
      <w:jc w:val="both"/>
      <w:outlineLvl w:val="0"/>
    </w:pPr>
    <w:rPr>
      <w:rFonts w:ascii="Arial" w:eastAsia="Arial Unicode MS" w:hAnsi="Arial"/>
      <w:b/>
      <w:bCs/>
      <w:sz w:val="20"/>
      <w:szCs w:val="20"/>
    </w:rPr>
  </w:style>
  <w:style w:type="paragraph" w:styleId="Nadpis2">
    <w:name w:val="heading 2"/>
    <w:basedOn w:val="Normln"/>
    <w:next w:val="Normln"/>
    <w:qFormat/>
    <w:rsid w:val="00CD49AE"/>
    <w:pPr>
      <w:keepNext/>
      <w:jc w:val="center"/>
      <w:outlineLvl w:val="1"/>
    </w:pPr>
    <w:rPr>
      <w:rFonts w:ascii="Arial" w:hAnsi="Arial"/>
      <w:b/>
      <w:bCs/>
      <w:sz w:val="20"/>
      <w:szCs w:val="20"/>
    </w:rPr>
  </w:style>
  <w:style w:type="paragraph" w:styleId="Nadpis3">
    <w:name w:val="heading 3"/>
    <w:basedOn w:val="Normln"/>
    <w:next w:val="Normln"/>
    <w:qFormat/>
    <w:rsid w:val="00D326EA"/>
    <w:pPr>
      <w:keepNext/>
      <w:overflowPunct w:val="0"/>
      <w:autoSpaceDE w:val="0"/>
      <w:autoSpaceDN w:val="0"/>
      <w:adjustRightInd w:val="0"/>
      <w:jc w:val="center"/>
      <w:textAlignment w:val="baseline"/>
      <w:outlineLvl w:val="2"/>
    </w:pPr>
    <w:rPr>
      <w:rFonts w:ascii="Arial" w:hAnsi="Arial"/>
      <w:b/>
      <w:bCs/>
      <w:szCs w:val="20"/>
    </w:rPr>
  </w:style>
  <w:style w:type="paragraph" w:styleId="Nadpis4">
    <w:name w:val="heading 4"/>
    <w:basedOn w:val="Normln"/>
    <w:next w:val="Normln"/>
    <w:qFormat/>
    <w:rsid w:val="00CC706A"/>
    <w:pPr>
      <w:keepNext/>
      <w:spacing w:before="240" w:after="60"/>
      <w:outlineLvl w:val="3"/>
    </w:pPr>
    <w:rPr>
      <w:b/>
      <w:bCs/>
      <w:sz w:val="28"/>
      <w:szCs w:val="28"/>
    </w:rPr>
  </w:style>
  <w:style w:type="paragraph" w:styleId="Nadpis5">
    <w:name w:val="heading 5"/>
    <w:basedOn w:val="Normln"/>
    <w:next w:val="Normln"/>
    <w:qFormat/>
    <w:rsid w:val="00D326EA"/>
    <w:pPr>
      <w:keepNext/>
      <w:overflowPunct w:val="0"/>
      <w:autoSpaceDE w:val="0"/>
      <w:autoSpaceDN w:val="0"/>
      <w:adjustRightInd w:val="0"/>
      <w:spacing w:before="120"/>
      <w:jc w:val="both"/>
      <w:textAlignment w:val="baseline"/>
      <w:outlineLvl w:val="4"/>
    </w:pPr>
    <w:rPr>
      <w:rFonts w:ascii="Arial" w:hAnsi="Arial"/>
      <w:b/>
      <w:bCs/>
      <w:color w:val="993300"/>
      <w:sz w:val="20"/>
      <w:szCs w:val="20"/>
    </w:rPr>
  </w:style>
  <w:style w:type="paragraph" w:styleId="Nadpis6">
    <w:name w:val="heading 6"/>
    <w:basedOn w:val="Normln"/>
    <w:next w:val="Normln"/>
    <w:qFormat/>
    <w:rsid w:val="00D326EA"/>
    <w:pPr>
      <w:keepNext/>
      <w:overflowPunct w:val="0"/>
      <w:autoSpaceDE w:val="0"/>
      <w:autoSpaceDN w:val="0"/>
      <w:adjustRightInd w:val="0"/>
      <w:ind w:left="426" w:hanging="426"/>
      <w:jc w:val="center"/>
      <w:textAlignment w:val="baseline"/>
      <w:outlineLvl w:val="5"/>
    </w:pPr>
    <w:rPr>
      <w:rFonts w:ascii="Arial" w:hAnsi="Arial"/>
      <w:b/>
      <w:szCs w:val="20"/>
    </w:rPr>
  </w:style>
  <w:style w:type="paragraph" w:styleId="Nadpis7">
    <w:name w:val="heading 7"/>
    <w:basedOn w:val="Normln"/>
    <w:next w:val="Normln"/>
    <w:qFormat/>
    <w:rsid w:val="00CC706A"/>
    <w:pPr>
      <w:spacing w:before="240" w:after="60"/>
      <w:outlineLvl w:val="6"/>
    </w:pPr>
  </w:style>
  <w:style w:type="paragraph" w:styleId="Nadpis8">
    <w:name w:val="heading 8"/>
    <w:basedOn w:val="Normln"/>
    <w:next w:val="Normln"/>
    <w:link w:val="Nadpis8Char"/>
    <w:qFormat/>
    <w:rsid w:val="00CC706A"/>
    <w:pPr>
      <w:spacing w:before="240" w:after="60"/>
      <w:outlineLvl w:val="7"/>
    </w:pPr>
    <w:rPr>
      <w:i/>
      <w:iCs/>
    </w:rPr>
  </w:style>
  <w:style w:type="paragraph" w:styleId="Nadpis9">
    <w:name w:val="heading 9"/>
    <w:basedOn w:val="Normln"/>
    <w:next w:val="Normln"/>
    <w:link w:val="Nadpis9Char"/>
    <w:qFormat/>
    <w:rsid w:val="00CC706A"/>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80914"/>
    <w:pPr>
      <w:tabs>
        <w:tab w:val="center" w:pos="4536"/>
        <w:tab w:val="right" w:pos="9072"/>
      </w:tabs>
    </w:pPr>
  </w:style>
  <w:style w:type="paragraph" w:styleId="Zpat">
    <w:name w:val="footer"/>
    <w:basedOn w:val="Normln"/>
    <w:rsid w:val="00A80914"/>
    <w:pPr>
      <w:tabs>
        <w:tab w:val="center" w:pos="4536"/>
        <w:tab w:val="right" w:pos="9072"/>
      </w:tabs>
    </w:pPr>
  </w:style>
  <w:style w:type="character" w:styleId="slostrnky">
    <w:name w:val="page number"/>
    <w:basedOn w:val="Standardnpsmoodstavce"/>
    <w:rsid w:val="00A80914"/>
  </w:style>
  <w:style w:type="paragraph" w:customStyle="1" w:styleId="Normlnweb1">
    <w:name w:val="Normální (web)1"/>
    <w:basedOn w:val="Normln"/>
    <w:rsid w:val="00FE4CA3"/>
    <w:pPr>
      <w:spacing w:before="100" w:after="100"/>
    </w:pPr>
    <w:rPr>
      <w:szCs w:val="20"/>
    </w:rPr>
  </w:style>
  <w:style w:type="paragraph" w:styleId="Zkladntextodsazen3">
    <w:name w:val="Body Text Indent 3"/>
    <w:basedOn w:val="Normln"/>
    <w:link w:val="Zkladntextodsazen3Char"/>
    <w:rsid w:val="00435E20"/>
    <w:pPr>
      <w:overflowPunct w:val="0"/>
      <w:autoSpaceDE w:val="0"/>
      <w:autoSpaceDN w:val="0"/>
      <w:adjustRightInd w:val="0"/>
      <w:spacing w:after="120"/>
      <w:ind w:left="426" w:hanging="426"/>
      <w:jc w:val="both"/>
      <w:textAlignment w:val="baseline"/>
    </w:pPr>
    <w:rPr>
      <w:rFonts w:ascii="Arial" w:hAnsi="Arial" w:cs="Arial"/>
      <w:sz w:val="20"/>
      <w:szCs w:val="20"/>
    </w:rPr>
  </w:style>
  <w:style w:type="paragraph" w:styleId="Zkladntextodsazen2">
    <w:name w:val="Body Text Indent 2"/>
    <w:basedOn w:val="Normln"/>
    <w:rsid w:val="00CD49AE"/>
    <w:pPr>
      <w:spacing w:after="120" w:line="480" w:lineRule="auto"/>
      <w:ind w:left="283"/>
    </w:pPr>
  </w:style>
  <w:style w:type="paragraph" w:styleId="Textbubliny">
    <w:name w:val="Balloon Text"/>
    <w:basedOn w:val="Normln"/>
    <w:semiHidden/>
    <w:rsid w:val="009125BA"/>
    <w:rPr>
      <w:rFonts w:ascii="Tahoma" w:hAnsi="Tahoma" w:cs="Tahoma"/>
      <w:sz w:val="16"/>
      <w:szCs w:val="16"/>
    </w:rPr>
  </w:style>
  <w:style w:type="paragraph" w:styleId="Zkladntext2">
    <w:name w:val="Body Text 2"/>
    <w:basedOn w:val="Normln"/>
    <w:link w:val="Zkladntext2Char"/>
    <w:rsid w:val="00D70AB9"/>
    <w:pPr>
      <w:spacing w:after="120" w:line="480" w:lineRule="auto"/>
    </w:pPr>
  </w:style>
  <w:style w:type="paragraph" w:customStyle="1" w:styleId="odra">
    <w:name w:val="odra"/>
    <w:basedOn w:val="Normln"/>
    <w:rsid w:val="00CC706A"/>
    <w:pPr>
      <w:numPr>
        <w:ilvl w:val="1"/>
        <w:numId w:val="2"/>
      </w:numPr>
    </w:pPr>
    <w:rPr>
      <w:rFonts w:ascii="Arial" w:hAnsi="Arial"/>
      <w:sz w:val="20"/>
      <w:szCs w:val="20"/>
    </w:rPr>
  </w:style>
  <w:style w:type="paragraph" w:customStyle="1" w:styleId="odrky1">
    <w:name w:val="odrážky1"/>
    <w:basedOn w:val="Normln"/>
    <w:rsid w:val="00CC706A"/>
    <w:pPr>
      <w:numPr>
        <w:numId w:val="1"/>
      </w:numPr>
    </w:pPr>
    <w:rPr>
      <w:rFonts w:ascii="Arial" w:hAnsi="Arial"/>
      <w:sz w:val="20"/>
      <w:szCs w:val="20"/>
    </w:rPr>
  </w:style>
  <w:style w:type="character" w:styleId="Hypertextovodkaz">
    <w:name w:val="Hyperlink"/>
    <w:rsid w:val="00CC706A"/>
    <w:rPr>
      <w:color w:val="0000FF"/>
      <w:u w:val="single"/>
    </w:rPr>
  </w:style>
  <w:style w:type="paragraph" w:styleId="Zkladntextodsazen">
    <w:name w:val="Body Text Indent"/>
    <w:basedOn w:val="Normln"/>
    <w:link w:val="ZkladntextodsazenChar"/>
    <w:rsid w:val="00CC706A"/>
    <w:pPr>
      <w:spacing w:after="120"/>
      <w:ind w:left="283"/>
    </w:pPr>
  </w:style>
  <w:style w:type="paragraph" w:styleId="Zkladntext3">
    <w:name w:val="Body Text 3"/>
    <w:basedOn w:val="Normln"/>
    <w:rsid w:val="007C6755"/>
    <w:pPr>
      <w:spacing w:after="120"/>
    </w:pPr>
    <w:rPr>
      <w:rFonts w:ascii="Arial" w:hAnsi="Arial"/>
      <w:sz w:val="16"/>
      <w:szCs w:val="16"/>
    </w:rPr>
  </w:style>
  <w:style w:type="paragraph" w:styleId="Zkladntext">
    <w:name w:val="Body Text"/>
    <w:basedOn w:val="Normln"/>
    <w:rsid w:val="00381FBE"/>
    <w:pPr>
      <w:spacing w:after="120"/>
    </w:pPr>
    <w:rPr>
      <w:rFonts w:ascii="Arial" w:hAnsi="Arial"/>
      <w:sz w:val="20"/>
      <w:szCs w:val="20"/>
    </w:rPr>
  </w:style>
  <w:style w:type="numbering" w:customStyle="1" w:styleId="Bezseznamu1">
    <w:name w:val="Bez seznamu1"/>
    <w:next w:val="Bezseznamu"/>
    <w:semiHidden/>
    <w:rsid w:val="00D326EA"/>
  </w:style>
  <w:style w:type="paragraph" w:styleId="Nzev">
    <w:name w:val="Title"/>
    <w:basedOn w:val="Normln"/>
    <w:qFormat/>
    <w:rsid w:val="00D326EA"/>
    <w:pPr>
      <w:overflowPunct w:val="0"/>
      <w:autoSpaceDE w:val="0"/>
      <w:autoSpaceDN w:val="0"/>
      <w:adjustRightInd w:val="0"/>
      <w:jc w:val="center"/>
    </w:pPr>
    <w:rPr>
      <w:rFonts w:ascii="Arial" w:hAnsi="Arial"/>
      <w:b/>
      <w:sz w:val="28"/>
      <w:szCs w:val="20"/>
    </w:rPr>
  </w:style>
  <w:style w:type="table" w:styleId="Mkatabulky">
    <w:name w:val="Table Grid"/>
    <w:basedOn w:val="Normlntabulka"/>
    <w:uiPriority w:val="39"/>
    <w:rsid w:val="00D32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ln"/>
    <w:rsid w:val="008C1536"/>
    <w:pPr>
      <w:spacing w:after="160" w:line="240" w:lineRule="exact"/>
    </w:pPr>
    <w:rPr>
      <w:rFonts w:ascii="Times New Roman Bold" w:hAnsi="Times New Roman Bold"/>
      <w:sz w:val="22"/>
      <w:szCs w:val="26"/>
      <w:lang w:val="sk-SK" w:eastAsia="en-US"/>
    </w:rPr>
  </w:style>
  <w:style w:type="character" w:styleId="Odkaznakoment">
    <w:name w:val="annotation reference"/>
    <w:semiHidden/>
    <w:rsid w:val="009834D5"/>
    <w:rPr>
      <w:sz w:val="16"/>
      <w:szCs w:val="16"/>
    </w:rPr>
  </w:style>
  <w:style w:type="paragraph" w:styleId="Textkomente">
    <w:name w:val="annotation text"/>
    <w:basedOn w:val="Normln"/>
    <w:link w:val="TextkomenteChar"/>
    <w:rsid w:val="009834D5"/>
    <w:rPr>
      <w:sz w:val="20"/>
      <w:szCs w:val="20"/>
    </w:rPr>
  </w:style>
  <w:style w:type="character" w:customStyle="1" w:styleId="TextkomenteChar">
    <w:name w:val="Text komentáře Char"/>
    <w:basedOn w:val="Standardnpsmoodstavce"/>
    <w:link w:val="Textkomente"/>
    <w:rsid w:val="009834D5"/>
  </w:style>
  <w:style w:type="paragraph" w:styleId="Pedmtkomente">
    <w:name w:val="annotation subject"/>
    <w:basedOn w:val="Textkomente"/>
    <w:next w:val="Textkomente"/>
    <w:link w:val="PedmtkomenteChar"/>
    <w:uiPriority w:val="99"/>
    <w:semiHidden/>
    <w:unhideWhenUsed/>
    <w:rsid w:val="002847F4"/>
    <w:rPr>
      <w:b/>
      <w:bCs/>
    </w:rPr>
  </w:style>
  <w:style w:type="character" w:customStyle="1" w:styleId="PedmtkomenteChar">
    <w:name w:val="Předmět komentáře Char"/>
    <w:link w:val="Pedmtkomente"/>
    <w:uiPriority w:val="99"/>
    <w:semiHidden/>
    <w:rsid w:val="002847F4"/>
    <w:rPr>
      <w:b/>
      <w:bCs/>
    </w:rPr>
  </w:style>
  <w:style w:type="paragraph" w:customStyle="1" w:styleId="Char4CharCharCharCharCharCharCharCharChar">
    <w:name w:val="Char4 Char Char Char Char Char Char Char Char Char"/>
    <w:basedOn w:val="Normln"/>
    <w:rsid w:val="00EC0F6D"/>
    <w:pPr>
      <w:spacing w:after="160" w:line="240" w:lineRule="exact"/>
    </w:pPr>
    <w:rPr>
      <w:rFonts w:ascii="Times New Roman Bold" w:hAnsi="Times New Roman Bold"/>
      <w:sz w:val="22"/>
      <w:szCs w:val="26"/>
      <w:lang w:val="sk-SK" w:eastAsia="en-US"/>
    </w:rPr>
  </w:style>
  <w:style w:type="character" w:customStyle="1" w:styleId="ZhlavChar">
    <w:name w:val="Záhlaví Char"/>
    <w:link w:val="Zhlav"/>
    <w:uiPriority w:val="99"/>
    <w:rsid w:val="000E6AF7"/>
    <w:rPr>
      <w:sz w:val="24"/>
      <w:szCs w:val="24"/>
    </w:rPr>
  </w:style>
  <w:style w:type="character" w:customStyle="1" w:styleId="Zkladntext2Char">
    <w:name w:val="Základní text 2 Char"/>
    <w:link w:val="Zkladntext2"/>
    <w:rsid w:val="00DD7DF0"/>
    <w:rPr>
      <w:sz w:val="24"/>
      <w:szCs w:val="24"/>
    </w:rPr>
  </w:style>
  <w:style w:type="character" w:customStyle="1" w:styleId="Zkladntextodsazen3Char">
    <w:name w:val="Základní text odsazený 3 Char"/>
    <w:link w:val="Zkladntextodsazen3"/>
    <w:rsid w:val="00453ED0"/>
    <w:rPr>
      <w:rFonts w:ascii="Arial" w:hAnsi="Arial" w:cs="Arial"/>
    </w:rPr>
  </w:style>
  <w:style w:type="character" w:customStyle="1" w:styleId="Nadpis9Char">
    <w:name w:val="Nadpis 9 Char"/>
    <w:link w:val="Nadpis9"/>
    <w:rsid w:val="00453ED0"/>
    <w:rPr>
      <w:rFonts w:ascii="Arial" w:hAnsi="Arial" w:cs="Arial"/>
      <w:sz w:val="22"/>
      <w:szCs w:val="22"/>
    </w:rPr>
  </w:style>
  <w:style w:type="character" w:customStyle="1" w:styleId="ZkladntextodsazenChar">
    <w:name w:val="Základní text odsazený Char"/>
    <w:link w:val="Zkladntextodsazen"/>
    <w:rsid w:val="00090852"/>
    <w:rPr>
      <w:sz w:val="24"/>
      <w:szCs w:val="24"/>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n"/>
    <w:rsid w:val="00F70E34"/>
    <w:pPr>
      <w:spacing w:after="160" w:line="240" w:lineRule="exact"/>
    </w:pPr>
    <w:rPr>
      <w:rFonts w:ascii="Times New Roman Bold" w:hAnsi="Times New Roman Bold"/>
      <w:sz w:val="22"/>
      <w:szCs w:val="26"/>
      <w:lang w:val="sk-SK" w:eastAsia="en-US"/>
    </w:rPr>
  </w:style>
  <w:style w:type="paragraph" w:styleId="Revize">
    <w:name w:val="Revision"/>
    <w:hidden/>
    <w:uiPriority w:val="99"/>
    <w:semiHidden/>
    <w:rsid w:val="001C2AE6"/>
    <w:rPr>
      <w:sz w:val="24"/>
      <w:szCs w:val="24"/>
    </w:rPr>
  </w:style>
  <w:style w:type="paragraph" w:styleId="Odstavecseseznamem">
    <w:name w:val="List Paragraph"/>
    <w:basedOn w:val="Normln"/>
    <w:uiPriority w:val="34"/>
    <w:qFormat/>
    <w:rsid w:val="001E43FF"/>
    <w:pPr>
      <w:spacing w:before="120" w:after="120"/>
      <w:ind w:left="720"/>
      <w:contextualSpacing/>
      <w:jc w:val="both"/>
    </w:pPr>
    <w:rPr>
      <w:sz w:val="22"/>
      <w:szCs w:val="20"/>
      <w:lang w:eastAsia="en-US"/>
    </w:rPr>
  </w:style>
  <w:style w:type="paragraph" w:styleId="Bezmezer">
    <w:name w:val="No Spacing"/>
    <w:uiPriority w:val="1"/>
    <w:qFormat/>
    <w:rsid w:val="00FE0785"/>
    <w:pPr>
      <w:suppressAutoHyphens/>
    </w:pPr>
    <w:rPr>
      <w:rFonts w:ascii="Calibri" w:hAnsi="Calibri"/>
      <w:noProof/>
      <w:sz w:val="22"/>
      <w:szCs w:val="22"/>
      <w:lang w:eastAsia="en-US"/>
    </w:rPr>
  </w:style>
  <w:style w:type="character" w:customStyle="1" w:styleId="Nadpis8Char">
    <w:name w:val="Nadpis 8 Char"/>
    <w:basedOn w:val="Standardnpsmoodstavce"/>
    <w:link w:val="Nadpis8"/>
    <w:rsid w:val="00A22BCE"/>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5078">
      <w:bodyDiv w:val="1"/>
      <w:marLeft w:val="0"/>
      <w:marRight w:val="0"/>
      <w:marTop w:val="0"/>
      <w:marBottom w:val="0"/>
      <w:divBdr>
        <w:top w:val="none" w:sz="0" w:space="0" w:color="auto"/>
        <w:left w:val="none" w:sz="0" w:space="0" w:color="auto"/>
        <w:bottom w:val="none" w:sz="0" w:space="0" w:color="auto"/>
        <w:right w:val="none" w:sz="0" w:space="0" w:color="auto"/>
      </w:divBdr>
    </w:div>
    <w:div w:id="339162050">
      <w:bodyDiv w:val="1"/>
      <w:marLeft w:val="0"/>
      <w:marRight w:val="0"/>
      <w:marTop w:val="0"/>
      <w:marBottom w:val="0"/>
      <w:divBdr>
        <w:top w:val="none" w:sz="0" w:space="0" w:color="auto"/>
        <w:left w:val="none" w:sz="0" w:space="0" w:color="auto"/>
        <w:bottom w:val="none" w:sz="0" w:space="0" w:color="auto"/>
        <w:right w:val="none" w:sz="0" w:space="0" w:color="auto"/>
      </w:divBdr>
    </w:div>
    <w:div w:id="411707958">
      <w:bodyDiv w:val="1"/>
      <w:marLeft w:val="0"/>
      <w:marRight w:val="0"/>
      <w:marTop w:val="0"/>
      <w:marBottom w:val="0"/>
      <w:divBdr>
        <w:top w:val="none" w:sz="0" w:space="0" w:color="auto"/>
        <w:left w:val="none" w:sz="0" w:space="0" w:color="auto"/>
        <w:bottom w:val="none" w:sz="0" w:space="0" w:color="auto"/>
        <w:right w:val="none" w:sz="0" w:space="0" w:color="auto"/>
      </w:divBdr>
    </w:div>
    <w:div w:id="621427435">
      <w:bodyDiv w:val="1"/>
      <w:marLeft w:val="0"/>
      <w:marRight w:val="0"/>
      <w:marTop w:val="0"/>
      <w:marBottom w:val="0"/>
      <w:divBdr>
        <w:top w:val="none" w:sz="0" w:space="0" w:color="auto"/>
        <w:left w:val="none" w:sz="0" w:space="0" w:color="auto"/>
        <w:bottom w:val="none" w:sz="0" w:space="0" w:color="auto"/>
        <w:right w:val="none" w:sz="0" w:space="0" w:color="auto"/>
      </w:divBdr>
    </w:div>
    <w:div w:id="622266846">
      <w:bodyDiv w:val="1"/>
      <w:marLeft w:val="0"/>
      <w:marRight w:val="0"/>
      <w:marTop w:val="0"/>
      <w:marBottom w:val="0"/>
      <w:divBdr>
        <w:top w:val="none" w:sz="0" w:space="0" w:color="auto"/>
        <w:left w:val="none" w:sz="0" w:space="0" w:color="auto"/>
        <w:bottom w:val="none" w:sz="0" w:space="0" w:color="auto"/>
        <w:right w:val="none" w:sz="0" w:space="0" w:color="auto"/>
      </w:divBdr>
    </w:div>
    <w:div w:id="731003525">
      <w:bodyDiv w:val="1"/>
      <w:marLeft w:val="0"/>
      <w:marRight w:val="0"/>
      <w:marTop w:val="0"/>
      <w:marBottom w:val="0"/>
      <w:divBdr>
        <w:top w:val="none" w:sz="0" w:space="0" w:color="auto"/>
        <w:left w:val="none" w:sz="0" w:space="0" w:color="auto"/>
        <w:bottom w:val="none" w:sz="0" w:space="0" w:color="auto"/>
        <w:right w:val="none" w:sz="0" w:space="0" w:color="auto"/>
      </w:divBdr>
    </w:div>
    <w:div w:id="781075054">
      <w:bodyDiv w:val="1"/>
      <w:marLeft w:val="0"/>
      <w:marRight w:val="0"/>
      <w:marTop w:val="0"/>
      <w:marBottom w:val="0"/>
      <w:divBdr>
        <w:top w:val="none" w:sz="0" w:space="0" w:color="auto"/>
        <w:left w:val="none" w:sz="0" w:space="0" w:color="auto"/>
        <w:bottom w:val="none" w:sz="0" w:space="0" w:color="auto"/>
        <w:right w:val="none" w:sz="0" w:space="0" w:color="auto"/>
      </w:divBdr>
    </w:div>
    <w:div w:id="823861045">
      <w:bodyDiv w:val="1"/>
      <w:marLeft w:val="0"/>
      <w:marRight w:val="0"/>
      <w:marTop w:val="0"/>
      <w:marBottom w:val="0"/>
      <w:divBdr>
        <w:top w:val="none" w:sz="0" w:space="0" w:color="auto"/>
        <w:left w:val="none" w:sz="0" w:space="0" w:color="auto"/>
        <w:bottom w:val="none" w:sz="0" w:space="0" w:color="auto"/>
        <w:right w:val="none" w:sz="0" w:space="0" w:color="auto"/>
      </w:divBdr>
    </w:div>
    <w:div w:id="841315479">
      <w:bodyDiv w:val="1"/>
      <w:marLeft w:val="0"/>
      <w:marRight w:val="0"/>
      <w:marTop w:val="0"/>
      <w:marBottom w:val="0"/>
      <w:divBdr>
        <w:top w:val="none" w:sz="0" w:space="0" w:color="auto"/>
        <w:left w:val="none" w:sz="0" w:space="0" w:color="auto"/>
        <w:bottom w:val="none" w:sz="0" w:space="0" w:color="auto"/>
        <w:right w:val="none" w:sz="0" w:space="0" w:color="auto"/>
      </w:divBdr>
    </w:div>
    <w:div w:id="844052190">
      <w:bodyDiv w:val="1"/>
      <w:marLeft w:val="0"/>
      <w:marRight w:val="0"/>
      <w:marTop w:val="0"/>
      <w:marBottom w:val="0"/>
      <w:divBdr>
        <w:top w:val="none" w:sz="0" w:space="0" w:color="auto"/>
        <w:left w:val="none" w:sz="0" w:space="0" w:color="auto"/>
        <w:bottom w:val="none" w:sz="0" w:space="0" w:color="auto"/>
        <w:right w:val="none" w:sz="0" w:space="0" w:color="auto"/>
      </w:divBdr>
    </w:div>
    <w:div w:id="888957206">
      <w:bodyDiv w:val="1"/>
      <w:marLeft w:val="0"/>
      <w:marRight w:val="0"/>
      <w:marTop w:val="0"/>
      <w:marBottom w:val="0"/>
      <w:divBdr>
        <w:top w:val="none" w:sz="0" w:space="0" w:color="auto"/>
        <w:left w:val="none" w:sz="0" w:space="0" w:color="auto"/>
        <w:bottom w:val="none" w:sz="0" w:space="0" w:color="auto"/>
        <w:right w:val="none" w:sz="0" w:space="0" w:color="auto"/>
      </w:divBdr>
    </w:div>
    <w:div w:id="976186161">
      <w:bodyDiv w:val="1"/>
      <w:marLeft w:val="0"/>
      <w:marRight w:val="0"/>
      <w:marTop w:val="0"/>
      <w:marBottom w:val="0"/>
      <w:divBdr>
        <w:top w:val="none" w:sz="0" w:space="0" w:color="auto"/>
        <w:left w:val="none" w:sz="0" w:space="0" w:color="auto"/>
        <w:bottom w:val="none" w:sz="0" w:space="0" w:color="auto"/>
        <w:right w:val="none" w:sz="0" w:space="0" w:color="auto"/>
      </w:divBdr>
    </w:div>
    <w:div w:id="979186246">
      <w:bodyDiv w:val="1"/>
      <w:marLeft w:val="0"/>
      <w:marRight w:val="0"/>
      <w:marTop w:val="0"/>
      <w:marBottom w:val="0"/>
      <w:divBdr>
        <w:top w:val="none" w:sz="0" w:space="0" w:color="auto"/>
        <w:left w:val="none" w:sz="0" w:space="0" w:color="auto"/>
        <w:bottom w:val="none" w:sz="0" w:space="0" w:color="auto"/>
        <w:right w:val="none" w:sz="0" w:space="0" w:color="auto"/>
      </w:divBdr>
    </w:div>
    <w:div w:id="1043822780">
      <w:bodyDiv w:val="1"/>
      <w:marLeft w:val="0"/>
      <w:marRight w:val="0"/>
      <w:marTop w:val="0"/>
      <w:marBottom w:val="0"/>
      <w:divBdr>
        <w:top w:val="none" w:sz="0" w:space="0" w:color="auto"/>
        <w:left w:val="none" w:sz="0" w:space="0" w:color="auto"/>
        <w:bottom w:val="none" w:sz="0" w:space="0" w:color="auto"/>
        <w:right w:val="none" w:sz="0" w:space="0" w:color="auto"/>
      </w:divBdr>
    </w:div>
    <w:div w:id="1070613799">
      <w:bodyDiv w:val="1"/>
      <w:marLeft w:val="0"/>
      <w:marRight w:val="0"/>
      <w:marTop w:val="0"/>
      <w:marBottom w:val="0"/>
      <w:divBdr>
        <w:top w:val="none" w:sz="0" w:space="0" w:color="auto"/>
        <w:left w:val="none" w:sz="0" w:space="0" w:color="auto"/>
        <w:bottom w:val="none" w:sz="0" w:space="0" w:color="auto"/>
        <w:right w:val="none" w:sz="0" w:space="0" w:color="auto"/>
      </w:divBdr>
    </w:div>
    <w:div w:id="1134833345">
      <w:bodyDiv w:val="1"/>
      <w:marLeft w:val="0"/>
      <w:marRight w:val="0"/>
      <w:marTop w:val="0"/>
      <w:marBottom w:val="0"/>
      <w:divBdr>
        <w:top w:val="none" w:sz="0" w:space="0" w:color="auto"/>
        <w:left w:val="none" w:sz="0" w:space="0" w:color="auto"/>
        <w:bottom w:val="none" w:sz="0" w:space="0" w:color="auto"/>
        <w:right w:val="none" w:sz="0" w:space="0" w:color="auto"/>
      </w:divBdr>
    </w:div>
    <w:div w:id="1178732525">
      <w:bodyDiv w:val="1"/>
      <w:marLeft w:val="0"/>
      <w:marRight w:val="0"/>
      <w:marTop w:val="0"/>
      <w:marBottom w:val="0"/>
      <w:divBdr>
        <w:top w:val="none" w:sz="0" w:space="0" w:color="auto"/>
        <w:left w:val="none" w:sz="0" w:space="0" w:color="auto"/>
        <w:bottom w:val="none" w:sz="0" w:space="0" w:color="auto"/>
        <w:right w:val="none" w:sz="0" w:space="0" w:color="auto"/>
      </w:divBdr>
    </w:div>
    <w:div w:id="1184394200">
      <w:bodyDiv w:val="1"/>
      <w:marLeft w:val="0"/>
      <w:marRight w:val="0"/>
      <w:marTop w:val="0"/>
      <w:marBottom w:val="0"/>
      <w:divBdr>
        <w:top w:val="none" w:sz="0" w:space="0" w:color="auto"/>
        <w:left w:val="none" w:sz="0" w:space="0" w:color="auto"/>
        <w:bottom w:val="none" w:sz="0" w:space="0" w:color="auto"/>
        <w:right w:val="none" w:sz="0" w:space="0" w:color="auto"/>
      </w:divBdr>
    </w:div>
    <w:div w:id="1196192110">
      <w:bodyDiv w:val="1"/>
      <w:marLeft w:val="0"/>
      <w:marRight w:val="0"/>
      <w:marTop w:val="0"/>
      <w:marBottom w:val="0"/>
      <w:divBdr>
        <w:top w:val="none" w:sz="0" w:space="0" w:color="auto"/>
        <w:left w:val="none" w:sz="0" w:space="0" w:color="auto"/>
        <w:bottom w:val="none" w:sz="0" w:space="0" w:color="auto"/>
        <w:right w:val="none" w:sz="0" w:space="0" w:color="auto"/>
      </w:divBdr>
    </w:div>
    <w:div w:id="1359238624">
      <w:bodyDiv w:val="1"/>
      <w:marLeft w:val="0"/>
      <w:marRight w:val="0"/>
      <w:marTop w:val="0"/>
      <w:marBottom w:val="0"/>
      <w:divBdr>
        <w:top w:val="none" w:sz="0" w:space="0" w:color="auto"/>
        <w:left w:val="none" w:sz="0" w:space="0" w:color="auto"/>
        <w:bottom w:val="none" w:sz="0" w:space="0" w:color="auto"/>
        <w:right w:val="none" w:sz="0" w:space="0" w:color="auto"/>
      </w:divBdr>
    </w:div>
    <w:div w:id="1387341835">
      <w:bodyDiv w:val="1"/>
      <w:marLeft w:val="0"/>
      <w:marRight w:val="0"/>
      <w:marTop w:val="0"/>
      <w:marBottom w:val="0"/>
      <w:divBdr>
        <w:top w:val="none" w:sz="0" w:space="0" w:color="auto"/>
        <w:left w:val="none" w:sz="0" w:space="0" w:color="auto"/>
        <w:bottom w:val="none" w:sz="0" w:space="0" w:color="auto"/>
        <w:right w:val="none" w:sz="0" w:space="0" w:color="auto"/>
      </w:divBdr>
    </w:div>
    <w:div w:id="1555510299">
      <w:bodyDiv w:val="1"/>
      <w:marLeft w:val="0"/>
      <w:marRight w:val="0"/>
      <w:marTop w:val="0"/>
      <w:marBottom w:val="0"/>
      <w:divBdr>
        <w:top w:val="none" w:sz="0" w:space="0" w:color="auto"/>
        <w:left w:val="none" w:sz="0" w:space="0" w:color="auto"/>
        <w:bottom w:val="none" w:sz="0" w:space="0" w:color="auto"/>
        <w:right w:val="none" w:sz="0" w:space="0" w:color="auto"/>
      </w:divBdr>
    </w:div>
    <w:div w:id="1844052666">
      <w:bodyDiv w:val="1"/>
      <w:marLeft w:val="0"/>
      <w:marRight w:val="0"/>
      <w:marTop w:val="0"/>
      <w:marBottom w:val="0"/>
      <w:divBdr>
        <w:top w:val="none" w:sz="0" w:space="0" w:color="auto"/>
        <w:left w:val="none" w:sz="0" w:space="0" w:color="auto"/>
        <w:bottom w:val="none" w:sz="0" w:space="0" w:color="auto"/>
        <w:right w:val="none" w:sz="0" w:space="0" w:color="auto"/>
      </w:divBdr>
    </w:div>
    <w:div w:id="1882860637">
      <w:bodyDiv w:val="1"/>
      <w:marLeft w:val="0"/>
      <w:marRight w:val="0"/>
      <w:marTop w:val="0"/>
      <w:marBottom w:val="0"/>
      <w:divBdr>
        <w:top w:val="none" w:sz="0" w:space="0" w:color="auto"/>
        <w:left w:val="none" w:sz="0" w:space="0" w:color="auto"/>
        <w:bottom w:val="none" w:sz="0" w:space="0" w:color="auto"/>
        <w:right w:val="none" w:sz="0" w:space="0" w:color="auto"/>
      </w:divBdr>
    </w:div>
    <w:div w:id="2020740555">
      <w:bodyDiv w:val="1"/>
      <w:marLeft w:val="0"/>
      <w:marRight w:val="0"/>
      <w:marTop w:val="0"/>
      <w:marBottom w:val="0"/>
      <w:divBdr>
        <w:top w:val="none" w:sz="0" w:space="0" w:color="auto"/>
        <w:left w:val="none" w:sz="0" w:space="0" w:color="auto"/>
        <w:bottom w:val="none" w:sz="0" w:space="0" w:color="auto"/>
        <w:right w:val="none" w:sz="0" w:space="0" w:color="auto"/>
      </w:divBdr>
    </w:div>
    <w:div w:id="2108425038">
      <w:bodyDiv w:val="1"/>
      <w:marLeft w:val="0"/>
      <w:marRight w:val="0"/>
      <w:marTop w:val="0"/>
      <w:marBottom w:val="0"/>
      <w:divBdr>
        <w:top w:val="none" w:sz="0" w:space="0" w:color="auto"/>
        <w:left w:val="none" w:sz="0" w:space="0" w:color="auto"/>
        <w:bottom w:val="none" w:sz="0" w:space="0" w:color="auto"/>
        <w:right w:val="none" w:sz="0" w:space="0" w:color="auto"/>
      </w:divBdr>
    </w:div>
    <w:div w:id="21273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C7E9-7DA1-419F-85F2-3960F076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7022</Words>
  <Characters>41858</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2018-12-17T10:20:00Z</dcterms:created>
  <dcterms:modified xsi:type="dcterms:W3CDTF">2020-06-15T08:14:00Z</dcterms:modified>
</cp:coreProperties>
</file>